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79B9" w14:textId="4E87A169" w:rsidR="00954F5A" w:rsidRDefault="00954F5A" w:rsidP="00954F5A">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4F741E">
        <w:rPr>
          <w:rFonts w:ascii="Arial" w:hAnsi="Arial" w:cs="Arial"/>
          <w:b/>
          <w:sz w:val="24"/>
          <w:szCs w:val="28"/>
          <w:lang w:val="en-US"/>
        </w:rPr>
        <w:t>12546</w:t>
      </w:r>
    </w:p>
    <w:p w14:paraId="4F6C5325" w14:textId="77777777" w:rsidR="00954F5A" w:rsidRPr="001D2FBF" w:rsidRDefault="00954F5A" w:rsidP="00954F5A">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28809939" w14:textId="377B8E95" w:rsidR="00CB4E5A" w:rsidRPr="00AB4182" w:rsidRDefault="00CB4E5A" w:rsidP="00CB4E5A">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2F86">
        <w:rPr>
          <w:rFonts w:ascii="Arial" w:hAnsi="Arial" w:cs="Arial"/>
          <w:color w:val="000000"/>
          <w:sz w:val="22"/>
          <w:lang w:eastAsia="zh-CN"/>
        </w:rPr>
        <w:t>6</w:t>
      </w:r>
      <w:r>
        <w:rPr>
          <w:rFonts w:ascii="Arial" w:hAnsi="Arial" w:cs="Arial" w:hint="eastAsia"/>
          <w:color w:val="000000"/>
          <w:sz w:val="22"/>
          <w:lang w:eastAsia="zh-CN"/>
        </w:rPr>
        <w:t>.</w:t>
      </w:r>
      <w:r w:rsidR="00954F5A">
        <w:rPr>
          <w:rFonts w:ascii="Arial" w:hAnsi="Arial" w:cs="Arial"/>
          <w:color w:val="000000"/>
          <w:sz w:val="22"/>
          <w:lang w:eastAsia="zh-CN"/>
        </w:rPr>
        <w:t>1.6</w:t>
      </w:r>
      <w:r>
        <w:rPr>
          <w:rFonts w:ascii="Arial" w:hAnsi="Arial" w:cs="Arial" w:hint="eastAsia"/>
          <w:color w:val="000000"/>
          <w:sz w:val="22"/>
          <w:lang w:eastAsia="zh-CN"/>
        </w:rPr>
        <w:t>.</w:t>
      </w:r>
      <w:r>
        <w:rPr>
          <w:rFonts w:ascii="Arial" w:hAnsi="Arial" w:cs="Arial"/>
          <w:color w:val="000000"/>
          <w:sz w:val="22"/>
          <w:lang w:eastAsia="zh-CN"/>
        </w:rPr>
        <w:t>2.2.2.</w:t>
      </w:r>
      <w:r w:rsidR="00346ED8">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D44553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82F86">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365CE1" w:rsidRPr="00365CE1">
        <w:rPr>
          <w:rFonts w:ascii="Arial" w:hAnsi="Arial" w:cs="Arial"/>
          <w:color w:val="000000"/>
          <w:sz w:val="22"/>
          <w:lang w:eastAsia="zh-CN"/>
        </w:rPr>
        <w:t>UE Rx-Tx time difference</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7B18FFC8" w:rsidR="005075ED" w:rsidRPr="005075ED" w:rsidRDefault="00FE5056" w:rsidP="00BB0A7A">
      <w:pPr>
        <w:spacing w:before="120" w:after="0"/>
        <w:rPr>
          <w:i/>
          <w:iCs/>
          <w:sz w:val="22"/>
          <w:szCs w:val="22"/>
          <w:lang w:val="en-US"/>
        </w:rPr>
      </w:pPr>
      <w:r>
        <w:rPr>
          <w:sz w:val="22"/>
          <w:szCs w:val="22"/>
          <w:lang w:val="en-US"/>
        </w:rPr>
        <w:t>In the RAN4#9</w:t>
      </w:r>
      <w:r w:rsidR="00954F5A">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 xml:space="preserve">there were extensive discussions on </w:t>
      </w:r>
      <w:r w:rsidR="00365CE1">
        <w:rPr>
          <w:sz w:val="22"/>
          <w:szCs w:val="22"/>
          <w:lang w:val="en-US"/>
        </w:rPr>
        <w:t>UE Rx-Tx time difference</w:t>
      </w:r>
      <w:r w:rsidR="00BC58C1">
        <w:rPr>
          <w:sz w:val="22"/>
          <w:szCs w:val="22"/>
          <w:lang w:val="en-US"/>
        </w:rPr>
        <w:t xml:space="preserve">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af6"/>
        <w:tblW w:w="0" w:type="auto"/>
        <w:tblLook w:val="04A0" w:firstRow="1" w:lastRow="0" w:firstColumn="1" w:lastColumn="0" w:noHBand="0" w:noVBand="1"/>
      </w:tblPr>
      <w:tblGrid>
        <w:gridCol w:w="9629"/>
      </w:tblGrid>
      <w:tr w:rsidR="00230F0C" w14:paraId="4DB1A311" w14:textId="77777777" w:rsidTr="00230F0C">
        <w:tc>
          <w:tcPr>
            <w:tcW w:w="9629" w:type="dxa"/>
          </w:tcPr>
          <w:p w14:paraId="262C7E7B" w14:textId="77777777" w:rsidR="00954F5A" w:rsidRPr="00954F5A" w:rsidRDefault="00954F5A" w:rsidP="00954F5A">
            <w:pPr>
              <w:numPr>
                <w:ilvl w:val="0"/>
                <w:numId w:val="9"/>
              </w:numPr>
              <w:spacing w:after="0"/>
              <w:rPr>
                <w:sz w:val="22"/>
                <w:szCs w:val="22"/>
                <w:highlight w:val="green"/>
                <w:lang w:val="en-US" w:eastAsia="zh-CN"/>
              </w:rPr>
            </w:pPr>
            <w:r w:rsidRPr="00954F5A">
              <w:rPr>
                <w:sz w:val="22"/>
                <w:szCs w:val="22"/>
                <w:highlight w:val="green"/>
                <w:lang w:val="en-US" w:eastAsia="zh-CN"/>
              </w:rPr>
              <w:t>Applicability of accuracy requirements in the case of NTA_offset change</w:t>
            </w:r>
            <w:r w:rsidRPr="00954F5A">
              <w:rPr>
                <w:i/>
                <w:iCs/>
                <w:sz w:val="22"/>
                <w:szCs w:val="22"/>
                <w:highlight w:val="green"/>
                <w:lang w:val="en-US" w:eastAsia="zh-CN"/>
              </w:rPr>
              <w:t xml:space="preserve"> : </w:t>
            </w:r>
          </w:p>
          <w:p w14:paraId="13FCF49A" w14:textId="77777777" w:rsidR="00954F5A" w:rsidRPr="00954F5A" w:rsidRDefault="00954F5A" w:rsidP="00954F5A">
            <w:pPr>
              <w:numPr>
                <w:ilvl w:val="1"/>
                <w:numId w:val="9"/>
              </w:numPr>
              <w:spacing w:after="0"/>
              <w:rPr>
                <w:sz w:val="22"/>
                <w:szCs w:val="22"/>
                <w:highlight w:val="green"/>
                <w:lang w:val="en-US" w:eastAsia="zh-CN"/>
              </w:rPr>
            </w:pPr>
            <w:r w:rsidRPr="00954F5A">
              <w:rPr>
                <w:sz w:val="22"/>
                <w:szCs w:val="22"/>
                <w:highlight w:val="green"/>
                <w:lang w:eastAsia="zh-CN"/>
              </w:rPr>
              <w:t>Clarify in section 10.1.25.2 in TS 38.133: “UE Rx-Tx time difference accuracy requirements shall not apply if N</w:t>
            </w:r>
            <w:r w:rsidRPr="00954F5A">
              <w:rPr>
                <w:sz w:val="22"/>
                <w:szCs w:val="22"/>
                <w:highlight w:val="green"/>
                <w:vertAlign w:val="subscript"/>
                <w:lang w:eastAsia="zh-CN"/>
              </w:rPr>
              <w:t>TA_offset</w:t>
            </w:r>
            <w:r w:rsidRPr="00954F5A">
              <w:rPr>
                <w:sz w:val="22"/>
                <w:szCs w:val="22"/>
                <w:highlight w:val="green"/>
                <w:lang w:eastAsia="zh-CN"/>
              </w:rPr>
              <w:t xml:space="preserve"> defined in Table 7.1.2-2 in 38.133 changes during the UE Rx-Tx measurement period.” </w:t>
            </w:r>
          </w:p>
          <w:p w14:paraId="6A406919" w14:textId="77777777" w:rsidR="00954F5A" w:rsidRPr="00954F5A" w:rsidRDefault="00954F5A" w:rsidP="00954F5A">
            <w:pPr>
              <w:numPr>
                <w:ilvl w:val="0"/>
                <w:numId w:val="9"/>
              </w:numPr>
              <w:spacing w:after="0"/>
              <w:rPr>
                <w:sz w:val="22"/>
                <w:szCs w:val="22"/>
                <w:highlight w:val="green"/>
                <w:lang w:val="en-US" w:eastAsia="zh-CN"/>
              </w:rPr>
            </w:pPr>
            <w:r w:rsidRPr="00954F5A">
              <w:rPr>
                <w:sz w:val="22"/>
                <w:szCs w:val="22"/>
                <w:highlight w:val="green"/>
                <w:lang w:val="en-US" w:eastAsia="zh-CN"/>
              </w:rPr>
              <w:t>Applicability of accuracy requirements under TA adjustment</w:t>
            </w:r>
            <w:r w:rsidRPr="00954F5A">
              <w:rPr>
                <w:i/>
                <w:iCs/>
                <w:sz w:val="22"/>
                <w:szCs w:val="22"/>
                <w:highlight w:val="green"/>
                <w:lang w:val="en-US" w:eastAsia="zh-CN"/>
              </w:rPr>
              <w:t xml:space="preserve"> :</w:t>
            </w:r>
          </w:p>
          <w:p w14:paraId="440CC3EA" w14:textId="77777777" w:rsidR="00954F5A" w:rsidRPr="00954F5A" w:rsidRDefault="00954F5A" w:rsidP="00954F5A">
            <w:pPr>
              <w:numPr>
                <w:ilvl w:val="1"/>
                <w:numId w:val="9"/>
              </w:numPr>
              <w:spacing w:after="0"/>
              <w:rPr>
                <w:sz w:val="22"/>
                <w:szCs w:val="22"/>
                <w:highlight w:val="green"/>
                <w:lang w:val="en-US" w:eastAsia="zh-CN"/>
              </w:rPr>
            </w:pPr>
            <w:r w:rsidRPr="00954F5A">
              <w:rPr>
                <w:sz w:val="22"/>
                <w:szCs w:val="22"/>
                <w:highlight w:val="green"/>
                <w:lang w:eastAsia="zh-CN"/>
              </w:rPr>
              <w:t xml:space="preserve">UE Rx-Tx measurement accuracy requirements shall not apply if the uplink transmission timing changes during the UE Rx-Tx measurement period due to network-configured TA command. </w:t>
            </w:r>
          </w:p>
          <w:p w14:paraId="1A5D9E80" w14:textId="7350ECD6" w:rsidR="00954F5A" w:rsidRPr="00DC7597" w:rsidRDefault="00954F5A" w:rsidP="00954F5A">
            <w:pPr>
              <w:numPr>
                <w:ilvl w:val="1"/>
                <w:numId w:val="9"/>
              </w:numPr>
              <w:spacing w:after="0"/>
              <w:rPr>
                <w:sz w:val="22"/>
                <w:szCs w:val="22"/>
                <w:highlight w:val="yellow"/>
                <w:lang w:val="en-US" w:eastAsia="zh-CN"/>
              </w:rPr>
            </w:pPr>
            <w:r w:rsidRPr="00DC7597">
              <w:rPr>
                <w:sz w:val="22"/>
                <w:szCs w:val="22"/>
                <w:highlight w:val="yellow"/>
                <w:lang w:val="en-US" w:eastAsia="zh-CN"/>
              </w:rPr>
              <w:t>FFS whether UE Rx-Tx measurement accuracy requirements shall apply if the uplink transmission timing changes during the UE Rx-Tx measurement period due to autonomous adjustment in the maintenance stage if no consensus reached.</w:t>
            </w:r>
          </w:p>
          <w:p w14:paraId="6DECC91E" w14:textId="77777777" w:rsidR="00954F5A" w:rsidRPr="00954F5A" w:rsidRDefault="00954F5A" w:rsidP="00954F5A">
            <w:pPr>
              <w:numPr>
                <w:ilvl w:val="0"/>
                <w:numId w:val="9"/>
              </w:numPr>
              <w:spacing w:after="0"/>
              <w:rPr>
                <w:sz w:val="22"/>
                <w:szCs w:val="22"/>
                <w:highlight w:val="green"/>
                <w:lang w:val="en-US" w:eastAsia="zh-CN"/>
              </w:rPr>
            </w:pPr>
            <w:r w:rsidRPr="00954F5A">
              <w:rPr>
                <w:sz w:val="22"/>
                <w:szCs w:val="22"/>
                <w:highlight w:val="green"/>
                <w:lang w:val="en-US" w:eastAsia="zh-CN"/>
              </w:rPr>
              <w:t>Applicable accuracy requirement in case of other (non-HO) serving cell changes:</w:t>
            </w:r>
          </w:p>
          <w:p w14:paraId="2FEC63CF" w14:textId="77777777" w:rsidR="00954F5A" w:rsidRPr="00954F5A" w:rsidRDefault="00954F5A" w:rsidP="00954F5A">
            <w:pPr>
              <w:numPr>
                <w:ilvl w:val="1"/>
                <w:numId w:val="9"/>
              </w:numPr>
              <w:tabs>
                <w:tab w:val="num" w:pos="2160"/>
              </w:tabs>
              <w:spacing w:after="0"/>
              <w:rPr>
                <w:sz w:val="22"/>
                <w:szCs w:val="22"/>
                <w:highlight w:val="green"/>
                <w:lang w:val="en-US" w:eastAsia="zh-CN"/>
              </w:rPr>
            </w:pPr>
            <w:r w:rsidRPr="00954F5A">
              <w:rPr>
                <w:sz w:val="22"/>
                <w:szCs w:val="22"/>
                <w:highlight w:val="green"/>
                <w:lang w:val="en-US" w:eastAsia="zh-CN"/>
              </w:rPr>
              <w:t>The UE shall continue and complete a UE Rx-Tx measurement while meeting UE Rx-Tx measurement accuracy requirements in clause 10.1.23, when a non-HO serving cell change occurs during the measurement, provided the cell change does not impact the configuration of the SRS used for the measurement.</w:t>
            </w:r>
          </w:p>
          <w:p w14:paraId="1ABDC2DC" w14:textId="5EAC3227" w:rsidR="00954F5A" w:rsidRPr="00954F5A" w:rsidRDefault="00954F5A" w:rsidP="00954F5A">
            <w:pPr>
              <w:numPr>
                <w:ilvl w:val="0"/>
                <w:numId w:val="9"/>
              </w:numPr>
              <w:spacing w:after="0"/>
              <w:rPr>
                <w:sz w:val="22"/>
                <w:szCs w:val="22"/>
                <w:highlight w:val="green"/>
                <w:lang w:val="en-US" w:eastAsia="zh-CN"/>
              </w:rPr>
            </w:pPr>
            <w:r w:rsidRPr="00954F5A">
              <w:rPr>
                <w:sz w:val="22"/>
                <w:szCs w:val="22"/>
                <w:highlight w:val="green"/>
                <w:lang w:val="en-US" w:eastAsia="zh-CN"/>
              </w:rPr>
              <w:t xml:space="preserve">The group delay calibration margin can be taken count into UE Rx-Tx difference accuracy requirement. </w:t>
            </w:r>
          </w:p>
          <w:p w14:paraId="7CE93069" w14:textId="77777777" w:rsidR="00954F5A" w:rsidRPr="00DC7597" w:rsidRDefault="00954F5A" w:rsidP="00954F5A">
            <w:pPr>
              <w:numPr>
                <w:ilvl w:val="1"/>
                <w:numId w:val="9"/>
              </w:numPr>
              <w:spacing w:after="0"/>
              <w:rPr>
                <w:sz w:val="22"/>
                <w:szCs w:val="22"/>
                <w:highlight w:val="yellow"/>
                <w:lang w:val="en-US" w:eastAsia="zh-CN"/>
              </w:rPr>
            </w:pPr>
            <w:r w:rsidRPr="00DC7597">
              <w:rPr>
                <w:sz w:val="22"/>
                <w:szCs w:val="22"/>
                <w:highlight w:val="yellow"/>
                <w:lang w:val="en-US" w:eastAsia="zh-CN"/>
              </w:rPr>
              <w:t>The exact value can be FFS.</w:t>
            </w:r>
          </w:p>
          <w:p w14:paraId="73A5D010" w14:textId="77777777" w:rsidR="00954F5A" w:rsidRDefault="00954F5A" w:rsidP="00954F5A">
            <w:pPr>
              <w:tabs>
                <w:tab w:val="num" w:pos="720"/>
              </w:tabs>
              <w:spacing w:after="0"/>
              <w:rPr>
                <w:sz w:val="22"/>
                <w:szCs w:val="22"/>
                <w:lang w:val="en-US" w:eastAsia="zh-CN"/>
              </w:rPr>
            </w:pPr>
          </w:p>
          <w:p w14:paraId="4B0A17F2" w14:textId="0F0CF70F" w:rsidR="00954F5A" w:rsidRPr="00954F5A" w:rsidRDefault="00954F5A" w:rsidP="00954F5A">
            <w:pPr>
              <w:tabs>
                <w:tab w:val="num" w:pos="720"/>
              </w:tabs>
              <w:spacing w:after="0"/>
              <w:ind w:left="284"/>
              <w:rPr>
                <w:sz w:val="22"/>
                <w:szCs w:val="22"/>
                <w:lang w:val="en-US" w:eastAsia="zh-CN"/>
              </w:rPr>
            </w:pPr>
            <w:r w:rsidRPr="00DC7597">
              <w:rPr>
                <w:sz w:val="22"/>
                <w:szCs w:val="22"/>
                <w:highlight w:val="yellow"/>
                <w:lang w:val="en-US" w:eastAsia="zh-CN"/>
              </w:rPr>
              <w:t>Companies are encouraged to bring the simulation results above based on the parameters agreed in R4-2108313 to conclude the TBD cases in the tables.</w:t>
            </w:r>
          </w:p>
          <w:p w14:paraId="3BFC00A6" w14:textId="1A19AD0B" w:rsidR="00230F0C" w:rsidRDefault="00230F0C" w:rsidP="00954F5A">
            <w:pPr>
              <w:tabs>
                <w:tab w:val="num" w:pos="720"/>
              </w:tabs>
              <w:spacing w:after="0"/>
              <w:rPr>
                <w:sz w:val="22"/>
                <w:szCs w:val="22"/>
                <w:lang w:val="en-US" w:eastAsia="zh-CN"/>
              </w:rPr>
            </w:pPr>
          </w:p>
        </w:tc>
      </w:tr>
    </w:tbl>
    <w:p w14:paraId="644FF3CE" w14:textId="158B86B9" w:rsidR="00200EFD" w:rsidRDefault="00200EFD" w:rsidP="00200EFD">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Pr="000D1283">
        <w:rPr>
          <w:sz w:val="22"/>
          <w:szCs w:val="22"/>
          <w:lang w:val="en-US" w:eastAsia="zh-CN"/>
        </w:rPr>
        <w:t xml:space="preserve"> </w:t>
      </w:r>
    </w:p>
    <w:p w14:paraId="764E529F" w14:textId="4EAE2D8A" w:rsidR="00200EFD" w:rsidRPr="005009A0" w:rsidRDefault="00200EFD" w:rsidP="00824223">
      <w:pPr>
        <w:numPr>
          <w:ilvl w:val="0"/>
          <w:numId w:val="4"/>
        </w:numPr>
        <w:spacing w:before="240" w:after="0"/>
        <w:jc w:val="both"/>
        <w:rPr>
          <w:i/>
          <w:iCs/>
          <w:sz w:val="22"/>
          <w:szCs w:val="22"/>
          <w:lang w:val="en-US"/>
        </w:rPr>
      </w:pPr>
      <w:r w:rsidRPr="005009A0">
        <w:rPr>
          <w:i/>
          <w:iCs/>
          <w:sz w:val="22"/>
          <w:szCs w:val="22"/>
          <w:lang w:val="en-US"/>
        </w:rPr>
        <w:t>Applicability of accuracy requirements under TA</w:t>
      </w:r>
      <w:r w:rsidR="0020731A">
        <w:rPr>
          <w:i/>
          <w:iCs/>
          <w:sz w:val="22"/>
          <w:szCs w:val="22"/>
          <w:lang w:val="en-US"/>
        </w:rPr>
        <w:t xml:space="preserve"> autonomous</w:t>
      </w:r>
      <w:r w:rsidRPr="005009A0">
        <w:rPr>
          <w:i/>
          <w:iCs/>
          <w:sz w:val="22"/>
          <w:szCs w:val="22"/>
          <w:lang w:val="en-US"/>
        </w:rPr>
        <w:t xml:space="preserve"> adjustment</w:t>
      </w:r>
    </w:p>
    <w:p w14:paraId="3F7AD985" w14:textId="77777777" w:rsidR="00720606" w:rsidRDefault="00720606" w:rsidP="00720606">
      <w:pPr>
        <w:numPr>
          <w:ilvl w:val="0"/>
          <w:numId w:val="4"/>
        </w:numPr>
        <w:spacing w:before="240" w:after="0"/>
        <w:jc w:val="both"/>
        <w:rPr>
          <w:i/>
          <w:iCs/>
          <w:sz w:val="22"/>
          <w:szCs w:val="22"/>
          <w:lang w:val="en-US"/>
        </w:rPr>
      </w:pPr>
      <w:r w:rsidRPr="00610999">
        <w:rPr>
          <w:i/>
          <w:iCs/>
          <w:sz w:val="22"/>
          <w:szCs w:val="22"/>
          <w:lang w:val="en-US"/>
        </w:rPr>
        <w:t>FFS on the group delay calibration margin</w:t>
      </w:r>
      <w:r>
        <w:rPr>
          <w:i/>
          <w:iCs/>
          <w:sz w:val="22"/>
          <w:szCs w:val="22"/>
          <w:lang w:val="en-US"/>
        </w:rPr>
        <w:t xml:space="preserve"> for FR1 and FR2</w:t>
      </w:r>
      <w:r w:rsidRPr="00610999">
        <w:rPr>
          <w:i/>
          <w:iCs/>
          <w:sz w:val="22"/>
          <w:szCs w:val="22"/>
          <w:lang w:val="en-US"/>
        </w:rPr>
        <w:t>.</w:t>
      </w:r>
    </w:p>
    <w:p w14:paraId="3E529D24" w14:textId="77777777" w:rsidR="0020731A" w:rsidRPr="00610999" w:rsidRDefault="0020731A" w:rsidP="0020731A">
      <w:pPr>
        <w:numPr>
          <w:ilvl w:val="0"/>
          <w:numId w:val="4"/>
        </w:numPr>
        <w:spacing w:before="240" w:after="0"/>
        <w:jc w:val="both"/>
        <w:rPr>
          <w:i/>
          <w:iCs/>
          <w:sz w:val="22"/>
          <w:szCs w:val="22"/>
          <w:lang w:val="en-US"/>
        </w:rPr>
      </w:pPr>
      <w:r>
        <w:rPr>
          <w:i/>
          <w:iCs/>
          <w:sz w:val="22"/>
          <w:szCs w:val="22"/>
          <w:lang w:val="en-US"/>
        </w:rPr>
        <w:t>Additional simulation results for accuracy requirements</w:t>
      </w:r>
    </w:p>
    <w:p w14:paraId="6FC1710D" w14:textId="0138EDD5" w:rsidR="0055506E" w:rsidRPr="001D2FBF" w:rsidRDefault="00C05669" w:rsidP="00BB0A7A">
      <w:pPr>
        <w:spacing w:before="120" w:after="0"/>
        <w:rPr>
          <w:sz w:val="22"/>
          <w:szCs w:val="22"/>
          <w:lang w:val="en-US"/>
        </w:rPr>
      </w:pPr>
      <w:r>
        <w:rPr>
          <w:sz w:val="22"/>
          <w:szCs w:val="22"/>
          <w:lang w:val="en-US"/>
        </w:rPr>
        <w:t>Our views on UE Rx-Tx accuracy were provided in [2</w:t>
      </w:r>
      <w:r w:rsidR="00720606">
        <w:rPr>
          <w:sz w:val="22"/>
          <w:szCs w:val="22"/>
          <w:lang w:val="en-US"/>
        </w:rPr>
        <w:t>, 3</w:t>
      </w:r>
      <w:r>
        <w:rPr>
          <w:sz w:val="22"/>
          <w:szCs w:val="22"/>
          <w:lang w:val="en-US"/>
        </w:rPr>
        <w:t xml:space="preserve">]. </w:t>
      </w:r>
      <w:r w:rsidR="00CF5BC2">
        <w:rPr>
          <w:sz w:val="22"/>
          <w:szCs w:val="22"/>
          <w:lang w:val="en-US"/>
        </w:rPr>
        <w:t xml:space="preserve">In this contribution, we </w:t>
      </w:r>
      <w:r>
        <w:rPr>
          <w:sz w:val="22"/>
          <w:szCs w:val="22"/>
          <w:lang w:val="en-US"/>
        </w:rPr>
        <w:t xml:space="preserve">further </w:t>
      </w:r>
      <w:r w:rsidR="00CF5BC2">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346ED8">
        <w:rPr>
          <w:sz w:val="22"/>
          <w:szCs w:val="22"/>
          <w:lang w:val="en-US"/>
        </w:rPr>
        <w:t xml:space="preserve">UE Rx-Tx time difference </w:t>
      </w:r>
      <w:r w:rsidR="005075ED">
        <w:rPr>
          <w:sz w:val="22"/>
          <w:szCs w:val="22"/>
          <w:lang w:val="en-US"/>
        </w:rPr>
        <w:t xml:space="preserve">measurement </w:t>
      </w:r>
      <w:r w:rsidR="0097312B">
        <w:rPr>
          <w:sz w:val="22"/>
          <w:szCs w:val="22"/>
          <w:lang w:val="en-US"/>
        </w:rPr>
        <w:t>accuracy</w:t>
      </w:r>
      <w:r w:rsidR="005075ED">
        <w:rPr>
          <w:sz w:val="22"/>
          <w:szCs w:val="22"/>
          <w:lang w:val="en-US"/>
        </w:rPr>
        <w:t xml:space="preserve"> requirements</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271DA45" w14:textId="0AA9210E" w:rsidR="00EB1D05" w:rsidRPr="00B94C3A" w:rsidRDefault="00B94C3A" w:rsidP="00B94C3A">
      <w:pPr>
        <w:pStyle w:val="2"/>
        <w:rPr>
          <w:lang w:eastAsia="zh-CN"/>
        </w:rPr>
      </w:pPr>
      <w:r>
        <w:rPr>
          <w:lang w:eastAsia="zh-CN"/>
        </w:rPr>
        <w:t xml:space="preserve">2.1 </w:t>
      </w:r>
      <w:r w:rsidR="009952EE" w:rsidRPr="009952EE">
        <w:rPr>
          <w:lang w:eastAsia="zh-CN"/>
        </w:rPr>
        <w:t xml:space="preserve">Applicability of accuracy requirements </w:t>
      </w:r>
      <w:r w:rsidR="009605F0" w:rsidRPr="00783EBD">
        <w:rPr>
          <w:lang w:eastAsia="zh-CN"/>
        </w:rPr>
        <w:t>under TA adjustment</w:t>
      </w:r>
    </w:p>
    <w:tbl>
      <w:tblPr>
        <w:tblStyle w:val="af6"/>
        <w:tblW w:w="0" w:type="auto"/>
        <w:tblLook w:val="04A0" w:firstRow="1" w:lastRow="0" w:firstColumn="1" w:lastColumn="0" w:noHBand="0" w:noVBand="1"/>
      </w:tblPr>
      <w:tblGrid>
        <w:gridCol w:w="9629"/>
      </w:tblGrid>
      <w:tr w:rsidR="00783EBD" w14:paraId="601EAB5B" w14:textId="77777777" w:rsidTr="00DA68C2">
        <w:tc>
          <w:tcPr>
            <w:tcW w:w="9629" w:type="dxa"/>
          </w:tcPr>
          <w:p w14:paraId="77E5C7E0" w14:textId="77777777" w:rsidR="00783EBD" w:rsidRPr="00783EBD" w:rsidRDefault="00783EBD" w:rsidP="00783EBD">
            <w:pPr>
              <w:numPr>
                <w:ilvl w:val="0"/>
                <w:numId w:val="3"/>
              </w:numPr>
              <w:spacing w:before="120" w:after="0"/>
              <w:rPr>
                <w:i/>
                <w:iCs/>
                <w:sz w:val="22"/>
                <w:szCs w:val="22"/>
                <w:lang w:val="en-US"/>
              </w:rPr>
            </w:pPr>
            <w:r w:rsidRPr="00783EBD">
              <w:rPr>
                <w:i/>
                <w:iCs/>
                <w:sz w:val="22"/>
                <w:szCs w:val="22"/>
                <w:lang w:val="en-US"/>
              </w:rPr>
              <w:t>Applicability of accuracy requirements under TA adjustment</w:t>
            </w:r>
          </w:p>
          <w:p w14:paraId="1F60D02A" w14:textId="65CD757B" w:rsidR="00783EBD" w:rsidRPr="001B13A7" w:rsidRDefault="009605F0" w:rsidP="009605F0">
            <w:pPr>
              <w:numPr>
                <w:ilvl w:val="1"/>
                <w:numId w:val="3"/>
              </w:numPr>
              <w:tabs>
                <w:tab w:val="num" w:pos="1440"/>
              </w:tabs>
              <w:spacing w:before="120" w:after="0"/>
              <w:rPr>
                <w:i/>
                <w:iCs/>
                <w:sz w:val="22"/>
                <w:szCs w:val="22"/>
                <w:lang w:val="en-US"/>
              </w:rPr>
            </w:pPr>
            <w:r w:rsidRPr="00D34DDC">
              <w:rPr>
                <w:i/>
                <w:iCs/>
                <w:sz w:val="22"/>
                <w:szCs w:val="22"/>
              </w:rPr>
              <w:lastRenderedPageBreak/>
              <w:t>FFS whether UE Rx-Tx measurement accuracy requirements shall apply if the uplink transmission timing changes during the UE Rx-Tx measurement period due to autonomous adjustment in the maintenance stage if no consensus reached.</w:t>
            </w:r>
            <w:r w:rsidR="00783EBD" w:rsidRPr="00ED52BE">
              <w:rPr>
                <w:i/>
                <w:iCs/>
                <w:sz w:val="22"/>
                <w:szCs w:val="22"/>
                <w:lang w:val="en-US"/>
              </w:rPr>
              <w:t xml:space="preserve"> </w:t>
            </w:r>
          </w:p>
        </w:tc>
      </w:tr>
    </w:tbl>
    <w:p w14:paraId="4C1CDC52" w14:textId="326B7381" w:rsidR="00EB6B03" w:rsidRDefault="00D34DDC" w:rsidP="00D34DDC">
      <w:pPr>
        <w:spacing w:before="240" w:after="0"/>
        <w:jc w:val="both"/>
        <w:rPr>
          <w:sz w:val="22"/>
          <w:szCs w:val="22"/>
          <w:lang w:val="en-US" w:eastAsia="zh-CN"/>
        </w:rPr>
      </w:pPr>
      <w:r>
        <w:rPr>
          <w:sz w:val="22"/>
          <w:szCs w:val="22"/>
          <w:lang w:val="en-US" w:eastAsia="zh-CN"/>
        </w:rPr>
        <w:lastRenderedPageBreak/>
        <w:t xml:space="preserve">For the TA change due to UE autonomous adjustment, </w:t>
      </w:r>
      <w:r w:rsidR="00EB6B03">
        <w:rPr>
          <w:sz w:val="22"/>
          <w:szCs w:val="22"/>
          <w:lang w:val="en-US" w:eastAsia="zh-CN"/>
        </w:rPr>
        <w:t xml:space="preserve">it was agreed that </w:t>
      </w:r>
      <w:r w:rsidRPr="008014A5">
        <w:rPr>
          <w:sz w:val="22"/>
          <w:szCs w:val="22"/>
          <w:lang w:val="en-US" w:eastAsia="zh-CN"/>
        </w:rPr>
        <w:t xml:space="preserve">UE should continue Rx-Tx time difference measurement </w:t>
      </w:r>
      <w:r>
        <w:rPr>
          <w:sz w:val="22"/>
          <w:szCs w:val="22"/>
          <w:lang w:val="en-US" w:eastAsia="zh-CN"/>
        </w:rPr>
        <w:t>and measurement period</w:t>
      </w:r>
      <w:r w:rsidRPr="008014A5">
        <w:rPr>
          <w:sz w:val="22"/>
          <w:szCs w:val="22"/>
          <w:lang w:val="en-US" w:eastAsia="zh-CN"/>
        </w:rPr>
        <w:t xml:space="preserve"> requirements</w:t>
      </w:r>
      <w:r w:rsidR="00EB6B03">
        <w:rPr>
          <w:sz w:val="22"/>
          <w:szCs w:val="22"/>
          <w:lang w:val="en-US" w:eastAsia="zh-CN"/>
        </w:rPr>
        <w:t xml:space="preserve"> apply. We think it </w:t>
      </w:r>
      <w:r w:rsidR="00BC5DD0">
        <w:rPr>
          <w:sz w:val="22"/>
          <w:szCs w:val="22"/>
          <w:lang w:val="en-US" w:eastAsia="zh-CN"/>
        </w:rPr>
        <w:t xml:space="preserve">would be meaningless if UE continues the measurement while there </w:t>
      </w:r>
      <w:r w:rsidR="00A45EBF">
        <w:rPr>
          <w:sz w:val="22"/>
          <w:szCs w:val="22"/>
          <w:lang w:val="en-US" w:eastAsia="zh-CN"/>
        </w:rPr>
        <w:t>are</w:t>
      </w:r>
      <w:r w:rsidR="00BC5DD0">
        <w:rPr>
          <w:sz w:val="22"/>
          <w:szCs w:val="22"/>
          <w:lang w:val="en-US" w:eastAsia="zh-CN"/>
        </w:rPr>
        <w:t xml:space="preserve"> no accuracy requirements </w:t>
      </w:r>
      <w:r w:rsidR="000F51BC">
        <w:rPr>
          <w:sz w:val="22"/>
          <w:szCs w:val="22"/>
          <w:lang w:val="en-US" w:eastAsia="zh-CN"/>
        </w:rPr>
        <w:t xml:space="preserve">being </w:t>
      </w:r>
      <w:r w:rsidR="00BC5DD0">
        <w:rPr>
          <w:sz w:val="22"/>
          <w:szCs w:val="22"/>
          <w:lang w:val="en-US" w:eastAsia="zh-CN"/>
        </w:rPr>
        <w:t>apply.</w:t>
      </w:r>
    </w:p>
    <w:p w14:paraId="55428654" w14:textId="4727A480" w:rsidR="00D34DDC" w:rsidRDefault="00D34DDC" w:rsidP="00D34DDC">
      <w:pPr>
        <w:spacing w:before="240" w:after="0"/>
        <w:jc w:val="both"/>
        <w:rPr>
          <w:sz w:val="22"/>
          <w:szCs w:val="22"/>
          <w:lang w:val="en-US" w:eastAsia="zh-CN"/>
        </w:rPr>
      </w:pPr>
      <w:r>
        <w:rPr>
          <w:sz w:val="22"/>
          <w:szCs w:val="22"/>
          <w:lang w:val="en-US" w:eastAsia="zh-CN"/>
        </w:rPr>
        <w:t>The UE autonomous adjustment of uplink transmit timing could happ</w:t>
      </w:r>
      <w:r w:rsidR="00BC5DD0">
        <w:rPr>
          <w:sz w:val="22"/>
          <w:szCs w:val="22"/>
          <w:lang w:val="en-US" w:eastAsia="zh-CN"/>
        </w:rPr>
        <w:t>en</w:t>
      </w:r>
      <w:r>
        <w:rPr>
          <w:sz w:val="22"/>
          <w:szCs w:val="22"/>
          <w:lang w:val="en-US" w:eastAsia="zh-CN"/>
        </w:rPr>
        <w:t xml:space="preserve"> </w:t>
      </w:r>
      <w:r w:rsidR="00A45EBF">
        <w:rPr>
          <w:sz w:val="22"/>
          <w:szCs w:val="22"/>
          <w:lang w:val="en-US" w:eastAsia="zh-CN"/>
        </w:rPr>
        <w:t>quite</w:t>
      </w:r>
      <w:r>
        <w:rPr>
          <w:sz w:val="22"/>
          <w:szCs w:val="22"/>
          <w:lang w:val="en-US" w:eastAsia="zh-CN"/>
        </w:rPr>
        <w:t xml:space="preserve"> frequently, e.g., every 200ms. </w:t>
      </w:r>
      <w:r w:rsidR="00A45EBF">
        <w:rPr>
          <w:sz w:val="22"/>
          <w:szCs w:val="22"/>
          <w:lang w:val="en-US" w:eastAsia="zh-CN"/>
        </w:rPr>
        <w:t xml:space="preserve">If </w:t>
      </w:r>
      <w:r w:rsidR="00A45EBF" w:rsidRPr="00A45EBF">
        <w:rPr>
          <w:sz w:val="22"/>
          <w:szCs w:val="22"/>
          <w:lang w:val="en-US" w:eastAsia="zh-CN"/>
        </w:rPr>
        <w:t>UE Rx-Tx measurement accuracy requirements shall</w:t>
      </w:r>
      <w:r w:rsidR="00A45EBF">
        <w:rPr>
          <w:sz w:val="22"/>
          <w:szCs w:val="22"/>
          <w:lang w:val="en-US" w:eastAsia="zh-CN"/>
        </w:rPr>
        <w:t xml:space="preserve"> not</w:t>
      </w:r>
      <w:r w:rsidR="00A45EBF" w:rsidRPr="00A45EBF">
        <w:rPr>
          <w:sz w:val="22"/>
          <w:szCs w:val="22"/>
          <w:lang w:val="en-US" w:eastAsia="zh-CN"/>
        </w:rPr>
        <w:t xml:space="preserve"> apply during the UE Rx-Tx measurement period due to autonomous adjustment</w:t>
      </w:r>
      <w:r w:rsidR="00A45EBF">
        <w:rPr>
          <w:sz w:val="22"/>
          <w:szCs w:val="22"/>
          <w:lang w:val="en-US" w:eastAsia="zh-CN"/>
        </w:rPr>
        <w:t xml:space="preserve">, then there </w:t>
      </w:r>
      <w:r w:rsidR="000F51BC">
        <w:rPr>
          <w:sz w:val="22"/>
          <w:szCs w:val="22"/>
          <w:lang w:val="en-US" w:eastAsia="zh-CN"/>
        </w:rPr>
        <w:t>would be</w:t>
      </w:r>
      <w:r w:rsidR="00A45EBF">
        <w:rPr>
          <w:sz w:val="22"/>
          <w:szCs w:val="22"/>
          <w:lang w:val="en-US" w:eastAsia="zh-CN"/>
        </w:rPr>
        <w:t xml:space="preserve"> no accuracy requirements </w:t>
      </w:r>
      <w:r w:rsidR="000F51BC">
        <w:rPr>
          <w:sz w:val="22"/>
          <w:szCs w:val="22"/>
          <w:lang w:val="en-US" w:eastAsia="zh-CN"/>
        </w:rPr>
        <w:t xml:space="preserve">at all </w:t>
      </w:r>
      <w:r w:rsidR="00A45EBF">
        <w:rPr>
          <w:sz w:val="22"/>
          <w:szCs w:val="22"/>
          <w:lang w:val="en-US" w:eastAsia="zh-CN"/>
        </w:rPr>
        <w:t>for the UE Rx-Tx time difference measurement because it is high likely that the measurement period could be larger than 200ms. S</w:t>
      </w:r>
      <w:r>
        <w:rPr>
          <w:sz w:val="22"/>
          <w:szCs w:val="22"/>
          <w:lang w:val="en-US" w:eastAsia="zh-CN"/>
        </w:rPr>
        <w:t>ince the UE autonomous adjustment is gradual, the impact on positioning accuracy would be acceptable.</w:t>
      </w:r>
      <w:r w:rsidR="00A45EBF">
        <w:rPr>
          <w:sz w:val="22"/>
          <w:szCs w:val="22"/>
          <w:lang w:val="en-US" w:eastAsia="zh-CN"/>
        </w:rPr>
        <w:t xml:space="preserve"> </w:t>
      </w:r>
    </w:p>
    <w:p w14:paraId="73D42202" w14:textId="7273F8DD" w:rsidR="00F84C51" w:rsidRPr="00F84C51" w:rsidRDefault="00F84C51" w:rsidP="00F84C51">
      <w:pPr>
        <w:tabs>
          <w:tab w:val="num" w:pos="720"/>
        </w:tabs>
        <w:spacing w:before="240" w:after="0"/>
        <w:jc w:val="both"/>
        <w:rPr>
          <w:b/>
          <w:bCs/>
          <w:sz w:val="22"/>
          <w:szCs w:val="22"/>
          <w:lang w:val="en-US" w:eastAsia="zh-CN"/>
        </w:rPr>
      </w:pPr>
      <w:r w:rsidRPr="00D23A1B">
        <w:rPr>
          <w:b/>
          <w:bCs/>
          <w:sz w:val="22"/>
          <w:szCs w:val="22"/>
          <w:lang w:val="en-US" w:eastAsia="zh-CN"/>
        </w:rPr>
        <w:t xml:space="preserve">Proposal </w:t>
      </w:r>
      <w:r w:rsidR="00A45EBF">
        <w:rPr>
          <w:b/>
          <w:bCs/>
          <w:sz w:val="22"/>
          <w:szCs w:val="22"/>
          <w:lang w:val="en-US" w:eastAsia="zh-CN"/>
        </w:rPr>
        <w:t>1</w:t>
      </w:r>
      <w:r w:rsidRPr="00D23A1B">
        <w:rPr>
          <w:b/>
          <w:bCs/>
          <w:sz w:val="22"/>
          <w:szCs w:val="22"/>
          <w:lang w:val="en-US" w:eastAsia="zh-CN"/>
        </w:rPr>
        <w:t xml:space="preserve">: </w:t>
      </w:r>
      <w:r w:rsidRPr="00F84C51">
        <w:rPr>
          <w:b/>
          <w:bCs/>
          <w:sz w:val="22"/>
          <w:szCs w:val="22"/>
          <w:lang w:val="en-US" w:eastAsia="zh-CN"/>
        </w:rPr>
        <w:t>UE Rx-Tx measurement accuracy requirements shall apply if the uplink transmission timing changes during the UE Rx-Tx measurement period due to autonomous adjustment</w:t>
      </w:r>
      <w:r w:rsidR="00A45EBF">
        <w:rPr>
          <w:b/>
          <w:bCs/>
          <w:sz w:val="22"/>
          <w:szCs w:val="22"/>
          <w:lang w:val="en-US" w:eastAsia="zh-CN"/>
        </w:rPr>
        <w:t>.</w:t>
      </w:r>
    </w:p>
    <w:p w14:paraId="1D514DB0" w14:textId="0A0958E6" w:rsidR="00783EBD" w:rsidRDefault="00783EBD" w:rsidP="007C4FF1">
      <w:pPr>
        <w:spacing w:before="240" w:after="0"/>
        <w:jc w:val="both"/>
        <w:rPr>
          <w:sz w:val="22"/>
          <w:szCs w:val="22"/>
          <w:lang w:val="en-US" w:eastAsia="zh-CN"/>
        </w:rPr>
      </w:pPr>
    </w:p>
    <w:p w14:paraId="3AF47EF6" w14:textId="19236CA7" w:rsidR="000F51BC" w:rsidRPr="00B94C3A" w:rsidRDefault="000F51BC" w:rsidP="000F51BC">
      <w:pPr>
        <w:pStyle w:val="2"/>
        <w:rPr>
          <w:lang w:eastAsia="zh-CN"/>
        </w:rPr>
      </w:pPr>
      <w:r>
        <w:rPr>
          <w:lang w:eastAsia="zh-CN"/>
        </w:rPr>
        <w:t>2.2 Group delay calibration margin</w:t>
      </w:r>
    </w:p>
    <w:tbl>
      <w:tblPr>
        <w:tblStyle w:val="af6"/>
        <w:tblW w:w="0" w:type="auto"/>
        <w:tblLook w:val="04A0" w:firstRow="1" w:lastRow="0" w:firstColumn="1" w:lastColumn="0" w:noHBand="0" w:noVBand="1"/>
      </w:tblPr>
      <w:tblGrid>
        <w:gridCol w:w="9629"/>
      </w:tblGrid>
      <w:tr w:rsidR="000F51BC" w14:paraId="3CF6D2AA" w14:textId="77777777" w:rsidTr="00387B1B">
        <w:tc>
          <w:tcPr>
            <w:tcW w:w="9629" w:type="dxa"/>
          </w:tcPr>
          <w:p w14:paraId="3CF5F95D" w14:textId="77777777" w:rsidR="000F51BC" w:rsidRPr="00954F5A" w:rsidRDefault="000F51BC" w:rsidP="000F51BC">
            <w:pPr>
              <w:numPr>
                <w:ilvl w:val="0"/>
                <w:numId w:val="3"/>
              </w:numPr>
              <w:spacing w:after="0"/>
              <w:rPr>
                <w:sz w:val="22"/>
                <w:szCs w:val="22"/>
                <w:highlight w:val="green"/>
                <w:lang w:val="en-US" w:eastAsia="zh-CN"/>
              </w:rPr>
            </w:pPr>
            <w:r w:rsidRPr="00954F5A">
              <w:rPr>
                <w:sz w:val="22"/>
                <w:szCs w:val="22"/>
                <w:highlight w:val="green"/>
                <w:lang w:val="en-US" w:eastAsia="zh-CN"/>
              </w:rPr>
              <w:t xml:space="preserve">The group delay calibration margin can be taken count into UE Rx-Tx difference accuracy requirement. </w:t>
            </w:r>
          </w:p>
          <w:p w14:paraId="2731CF9F" w14:textId="388BC15A" w:rsidR="000F51BC" w:rsidRPr="001B13A7" w:rsidRDefault="000F51BC" w:rsidP="000F51BC">
            <w:pPr>
              <w:numPr>
                <w:ilvl w:val="1"/>
                <w:numId w:val="3"/>
              </w:numPr>
              <w:spacing w:after="0"/>
              <w:rPr>
                <w:i/>
                <w:iCs/>
                <w:sz w:val="22"/>
                <w:szCs w:val="22"/>
                <w:lang w:val="en-US"/>
              </w:rPr>
            </w:pPr>
            <w:r w:rsidRPr="00954F5A">
              <w:rPr>
                <w:sz w:val="22"/>
                <w:szCs w:val="22"/>
                <w:lang w:val="en-US" w:eastAsia="zh-CN"/>
              </w:rPr>
              <w:t>The exact value can be FFS.</w:t>
            </w:r>
          </w:p>
        </w:tc>
      </w:tr>
    </w:tbl>
    <w:p w14:paraId="63FC9DAB" w14:textId="776B19D3" w:rsidR="000F51BC" w:rsidRDefault="000F51BC" w:rsidP="00DC7597">
      <w:pPr>
        <w:spacing w:before="240" w:after="0"/>
        <w:jc w:val="both"/>
        <w:rPr>
          <w:sz w:val="22"/>
          <w:szCs w:val="22"/>
          <w:lang w:val="en-US" w:eastAsia="zh-CN"/>
        </w:rPr>
      </w:pPr>
      <w:r>
        <w:rPr>
          <w:sz w:val="22"/>
          <w:szCs w:val="22"/>
          <w:lang w:val="en-US" w:eastAsia="zh-CN"/>
        </w:rPr>
        <w:t xml:space="preserve">RAN4 agreed </w:t>
      </w:r>
      <w:r w:rsidR="00DC7597" w:rsidRPr="00DC7597">
        <w:rPr>
          <w:sz w:val="22"/>
          <w:szCs w:val="22"/>
          <w:lang w:val="en-US" w:eastAsia="zh-CN"/>
        </w:rPr>
        <w:t xml:space="preserve">the group delay calibration margin can be taken count into UE Rx-Tx difference accuracy requirement. </w:t>
      </w:r>
      <w:r>
        <w:rPr>
          <w:sz w:val="22"/>
          <w:szCs w:val="22"/>
          <w:lang w:val="en-US" w:eastAsia="zh-CN"/>
        </w:rPr>
        <w:t xml:space="preserve">The margin is mainly for RF group delay variation </w:t>
      </w:r>
      <w:r w:rsidR="009B7792">
        <w:rPr>
          <w:sz w:val="22"/>
          <w:szCs w:val="22"/>
          <w:lang w:val="en-US" w:eastAsia="zh-CN"/>
        </w:rPr>
        <w:t>which</w:t>
      </w:r>
      <w:r>
        <w:rPr>
          <w:sz w:val="22"/>
          <w:szCs w:val="22"/>
          <w:lang w:val="en-US" w:eastAsia="zh-CN"/>
        </w:rPr>
        <w:t xml:space="preserve"> cannot be compensated by group delay calibration. </w:t>
      </w:r>
    </w:p>
    <w:p w14:paraId="45A8EF14" w14:textId="51C19314" w:rsidR="00DC7597" w:rsidRDefault="00DC7597" w:rsidP="00DC7597">
      <w:pPr>
        <w:tabs>
          <w:tab w:val="num" w:pos="720"/>
        </w:tabs>
        <w:spacing w:before="240" w:after="0"/>
        <w:jc w:val="both"/>
        <w:rPr>
          <w:sz w:val="22"/>
          <w:szCs w:val="22"/>
          <w:lang w:val="en-US" w:eastAsia="zh-CN"/>
        </w:rPr>
      </w:pPr>
      <w:r>
        <w:rPr>
          <w:sz w:val="22"/>
          <w:szCs w:val="22"/>
          <w:lang w:val="en-US" w:eastAsia="zh-CN"/>
        </w:rPr>
        <w:t xml:space="preserve">we propose the group delay calibration margin is </w:t>
      </w:r>
      <w:r w:rsidR="00D43E24">
        <w:rPr>
          <w:sz w:val="22"/>
          <w:szCs w:val="22"/>
          <w:lang w:val="en-US" w:eastAsia="zh-CN"/>
        </w:rPr>
        <w:t>0.5</w:t>
      </w:r>
      <w:r>
        <w:rPr>
          <w:sz w:val="22"/>
          <w:szCs w:val="22"/>
          <w:lang w:val="en-US" w:eastAsia="zh-CN"/>
        </w:rPr>
        <w:t>Ts (</w:t>
      </w:r>
      <w:r w:rsidR="00D43E24">
        <w:rPr>
          <w:sz w:val="22"/>
          <w:szCs w:val="22"/>
          <w:lang w:val="en-US" w:eastAsia="zh-CN"/>
        </w:rPr>
        <w:t>32</w:t>
      </w:r>
      <w:r>
        <w:rPr>
          <w:sz w:val="22"/>
          <w:szCs w:val="22"/>
          <w:lang w:val="en-US" w:eastAsia="zh-CN"/>
        </w:rPr>
        <w:t>Tc)</w:t>
      </w:r>
      <w:r w:rsidR="00D43E24">
        <w:rPr>
          <w:sz w:val="22"/>
          <w:szCs w:val="22"/>
          <w:lang w:val="en-US" w:eastAsia="zh-CN"/>
        </w:rPr>
        <w:t xml:space="preserve"> for UE Rx-Tx time difference accuracy requirements</w:t>
      </w:r>
      <w:r>
        <w:rPr>
          <w:sz w:val="22"/>
          <w:szCs w:val="22"/>
          <w:lang w:val="en-US" w:eastAsia="zh-CN"/>
        </w:rPr>
        <w:t>. Th</w:t>
      </w:r>
      <w:r w:rsidR="00D43E24">
        <w:rPr>
          <w:sz w:val="22"/>
          <w:szCs w:val="22"/>
          <w:lang w:val="en-US" w:eastAsia="zh-CN"/>
        </w:rPr>
        <w:t>is</w:t>
      </w:r>
      <w:r>
        <w:rPr>
          <w:sz w:val="22"/>
          <w:szCs w:val="22"/>
          <w:lang w:val="en-US" w:eastAsia="zh-CN"/>
        </w:rPr>
        <w:t xml:space="preserve"> would introduce ~</w:t>
      </w:r>
      <w:r w:rsidR="009B7792">
        <w:rPr>
          <w:sz w:val="22"/>
          <w:szCs w:val="22"/>
          <w:lang w:val="en-US" w:eastAsia="zh-CN"/>
        </w:rPr>
        <w:t>5</w:t>
      </w:r>
      <w:r>
        <w:rPr>
          <w:sz w:val="22"/>
          <w:szCs w:val="22"/>
          <w:lang w:val="en-US" w:eastAsia="zh-CN"/>
        </w:rPr>
        <w:t>m inaccuracy of positioning.</w:t>
      </w:r>
    </w:p>
    <w:p w14:paraId="7CE8A4AF" w14:textId="3C251DFF" w:rsidR="00DC7597" w:rsidRPr="00D23A1B" w:rsidRDefault="00DC7597" w:rsidP="00DC7597">
      <w:pPr>
        <w:spacing w:before="240" w:after="0"/>
        <w:jc w:val="both"/>
        <w:rPr>
          <w:b/>
          <w:bCs/>
          <w:sz w:val="22"/>
          <w:szCs w:val="22"/>
          <w:lang w:val="en-US" w:eastAsia="zh-CN"/>
        </w:rPr>
      </w:pPr>
      <w:r w:rsidRPr="00D23A1B">
        <w:rPr>
          <w:b/>
          <w:bCs/>
          <w:sz w:val="22"/>
          <w:szCs w:val="22"/>
          <w:lang w:val="en-US" w:eastAsia="zh-CN"/>
        </w:rPr>
        <w:t xml:space="preserve">Proposal </w:t>
      </w:r>
      <w:r w:rsidR="00E7171A">
        <w:rPr>
          <w:b/>
          <w:bCs/>
          <w:sz w:val="22"/>
          <w:szCs w:val="22"/>
          <w:lang w:val="en-US" w:eastAsia="zh-CN"/>
        </w:rPr>
        <w:t>2</w:t>
      </w:r>
      <w:r w:rsidRPr="00D23A1B">
        <w:rPr>
          <w:b/>
          <w:bCs/>
          <w:sz w:val="22"/>
          <w:szCs w:val="22"/>
          <w:lang w:val="en-US" w:eastAsia="zh-CN"/>
        </w:rPr>
        <w:t xml:space="preserve">: </w:t>
      </w:r>
      <w:r w:rsidR="00E7171A">
        <w:rPr>
          <w:b/>
          <w:bCs/>
          <w:sz w:val="22"/>
          <w:szCs w:val="22"/>
          <w:lang w:val="en-US" w:eastAsia="zh-CN"/>
        </w:rPr>
        <w:t>G</w:t>
      </w:r>
      <w:r>
        <w:rPr>
          <w:b/>
          <w:bCs/>
          <w:sz w:val="22"/>
          <w:szCs w:val="22"/>
          <w:lang w:val="en-US" w:eastAsia="zh-CN"/>
        </w:rPr>
        <w:t>roup delay calibration margin for</w:t>
      </w:r>
      <w:r w:rsidRPr="0010228E">
        <w:rPr>
          <w:b/>
          <w:bCs/>
          <w:sz w:val="22"/>
          <w:szCs w:val="22"/>
          <w:lang w:val="en-US" w:eastAsia="zh-CN"/>
        </w:rPr>
        <w:t xml:space="preserve"> the </w:t>
      </w:r>
      <w:r w:rsidR="00E7171A">
        <w:rPr>
          <w:b/>
          <w:bCs/>
          <w:sz w:val="22"/>
          <w:szCs w:val="22"/>
          <w:lang w:val="en-US" w:eastAsia="zh-CN"/>
        </w:rPr>
        <w:t>UE Rx-Tx time difference</w:t>
      </w:r>
      <w:r w:rsidRPr="0010228E">
        <w:rPr>
          <w:b/>
          <w:bCs/>
          <w:sz w:val="22"/>
          <w:szCs w:val="22"/>
          <w:lang w:val="en-US" w:eastAsia="zh-CN"/>
        </w:rPr>
        <w:t xml:space="preserve"> accuracy requirements </w:t>
      </w:r>
      <w:r>
        <w:rPr>
          <w:b/>
          <w:bCs/>
          <w:sz w:val="22"/>
          <w:szCs w:val="22"/>
          <w:lang w:val="en-US" w:eastAsia="zh-CN"/>
        </w:rPr>
        <w:t>is</w:t>
      </w:r>
      <w:r w:rsidRPr="0010228E">
        <w:rPr>
          <w:b/>
          <w:bCs/>
          <w:sz w:val="22"/>
          <w:szCs w:val="22"/>
          <w:lang w:val="en-US" w:eastAsia="zh-CN"/>
        </w:rPr>
        <w:t xml:space="preserve"> </w:t>
      </w:r>
      <w:r w:rsidR="002F5F78">
        <w:rPr>
          <w:b/>
          <w:bCs/>
          <w:sz w:val="22"/>
          <w:szCs w:val="22"/>
          <w:lang w:val="en-US" w:eastAsia="zh-CN"/>
        </w:rPr>
        <w:t>0.5</w:t>
      </w:r>
      <w:r>
        <w:rPr>
          <w:b/>
          <w:bCs/>
          <w:sz w:val="22"/>
          <w:szCs w:val="22"/>
          <w:lang w:val="en-US" w:eastAsia="zh-CN"/>
        </w:rPr>
        <w:t>Ts (</w:t>
      </w:r>
      <w:r w:rsidR="002F5F78">
        <w:rPr>
          <w:b/>
          <w:bCs/>
          <w:sz w:val="22"/>
          <w:szCs w:val="22"/>
          <w:lang w:val="en-US" w:eastAsia="zh-CN"/>
        </w:rPr>
        <w:t>32</w:t>
      </w:r>
      <w:r>
        <w:rPr>
          <w:b/>
          <w:bCs/>
          <w:sz w:val="22"/>
          <w:szCs w:val="22"/>
          <w:lang w:val="en-US" w:eastAsia="zh-CN"/>
        </w:rPr>
        <w:t xml:space="preserve">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3F1F9DC6" w14:textId="77777777" w:rsidR="000F51BC" w:rsidRDefault="000F51BC" w:rsidP="007C4FF1">
      <w:pPr>
        <w:spacing w:before="240" w:after="0"/>
        <w:jc w:val="both"/>
        <w:rPr>
          <w:sz w:val="22"/>
          <w:szCs w:val="22"/>
          <w:lang w:val="en-US" w:eastAsia="zh-CN"/>
        </w:rPr>
      </w:pPr>
    </w:p>
    <w:p w14:paraId="31555DAD" w14:textId="77777777" w:rsidR="002F5F78" w:rsidRPr="00B94C3A" w:rsidRDefault="002F5F78" w:rsidP="002F5F78">
      <w:pPr>
        <w:pStyle w:val="2"/>
        <w:rPr>
          <w:lang w:eastAsia="zh-CN"/>
        </w:rPr>
      </w:pPr>
      <w:r>
        <w:rPr>
          <w:lang w:eastAsia="zh-CN"/>
        </w:rPr>
        <w:t>2.2 Addition simulation results for accuracy requirements</w:t>
      </w:r>
    </w:p>
    <w:p w14:paraId="32F7735D" w14:textId="6B7087FC" w:rsidR="002F5F78" w:rsidRDefault="002F5F78" w:rsidP="002F5F78">
      <w:pPr>
        <w:spacing w:before="240" w:after="0"/>
        <w:jc w:val="both"/>
        <w:rPr>
          <w:sz w:val="22"/>
          <w:szCs w:val="22"/>
          <w:lang w:val="en-US" w:eastAsia="zh-CN"/>
        </w:rPr>
      </w:pPr>
      <w:r>
        <w:rPr>
          <w:sz w:val="22"/>
          <w:szCs w:val="22"/>
          <w:lang w:val="en-US" w:eastAsia="zh-CN"/>
        </w:rPr>
        <w:t>Additional simulation results for UE Rx-Tx time difference measurements for 30kHz SCS, 24 PRBs PRS BW are provided in [</w:t>
      </w:r>
      <w:r w:rsidR="00702FC1">
        <w:rPr>
          <w:sz w:val="22"/>
          <w:szCs w:val="22"/>
          <w:lang w:val="en-US" w:eastAsia="zh-CN"/>
        </w:rPr>
        <w:t>4</w:t>
      </w:r>
      <w:r>
        <w:rPr>
          <w:sz w:val="22"/>
          <w:szCs w:val="22"/>
          <w:lang w:val="en-US" w:eastAsia="zh-CN"/>
        </w:rPr>
        <w:t>].</w:t>
      </w:r>
    </w:p>
    <w:p w14:paraId="5D51D3FC" w14:textId="77777777" w:rsidR="00E9766B" w:rsidRDefault="00E9766B" w:rsidP="00365CE1">
      <w:pPr>
        <w:spacing w:before="240" w:after="0"/>
        <w:jc w:val="both"/>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0A1AAA3D"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3" w:name="_Hlk23953093"/>
    </w:p>
    <w:p w14:paraId="2B67F689" w14:textId="77777777" w:rsidR="00C76B31" w:rsidRPr="00F84C51" w:rsidRDefault="00C76B31" w:rsidP="00C76B31">
      <w:pPr>
        <w:tabs>
          <w:tab w:val="num" w:pos="720"/>
        </w:tabs>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 xml:space="preserve">: </w:t>
      </w:r>
      <w:r w:rsidRPr="00F84C51">
        <w:rPr>
          <w:b/>
          <w:bCs/>
          <w:sz w:val="22"/>
          <w:szCs w:val="22"/>
          <w:lang w:val="en-US" w:eastAsia="zh-CN"/>
        </w:rPr>
        <w:t>UE Rx-Tx measurement accuracy requirements shall apply if the uplink transmission timing changes during the UE Rx-Tx measurement period due to autonomous adjustment</w:t>
      </w:r>
      <w:r>
        <w:rPr>
          <w:b/>
          <w:bCs/>
          <w:sz w:val="22"/>
          <w:szCs w:val="22"/>
          <w:lang w:val="en-US" w:eastAsia="zh-CN"/>
        </w:rPr>
        <w:t>.</w:t>
      </w:r>
    </w:p>
    <w:p w14:paraId="5CD22C8B" w14:textId="77777777" w:rsidR="00C76B31" w:rsidRPr="00D23A1B" w:rsidRDefault="00C76B31" w:rsidP="00C76B31">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Group delay calibration margin for</w:t>
      </w:r>
      <w:r w:rsidRPr="0010228E">
        <w:rPr>
          <w:b/>
          <w:bCs/>
          <w:sz w:val="22"/>
          <w:szCs w:val="22"/>
          <w:lang w:val="en-US" w:eastAsia="zh-CN"/>
        </w:rPr>
        <w:t xml:space="preserve"> the </w:t>
      </w:r>
      <w:r>
        <w:rPr>
          <w:b/>
          <w:bCs/>
          <w:sz w:val="22"/>
          <w:szCs w:val="22"/>
          <w:lang w:val="en-US" w:eastAsia="zh-CN"/>
        </w:rPr>
        <w:t>UE Rx-Tx time difference</w:t>
      </w:r>
      <w:r w:rsidRPr="0010228E">
        <w:rPr>
          <w:b/>
          <w:bCs/>
          <w:sz w:val="22"/>
          <w:szCs w:val="22"/>
          <w:lang w:val="en-US" w:eastAsia="zh-CN"/>
        </w:rPr>
        <w:t xml:space="preserve"> accuracy requirements </w:t>
      </w:r>
      <w:r>
        <w:rPr>
          <w:b/>
          <w:bCs/>
          <w:sz w:val="22"/>
          <w:szCs w:val="22"/>
          <w:lang w:val="en-US" w:eastAsia="zh-CN"/>
        </w:rPr>
        <w:t>is</w:t>
      </w:r>
      <w:r w:rsidRPr="0010228E">
        <w:rPr>
          <w:b/>
          <w:bCs/>
          <w:sz w:val="22"/>
          <w:szCs w:val="22"/>
          <w:lang w:val="en-US" w:eastAsia="zh-CN"/>
        </w:rPr>
        <w:t xml:space="preserve"> </w:t>
      </w:r>
      <w:r>
        <w:rPr>
          <w:b/>
          <w:bCs/>
          <w:sz w:val="22"/>
          <w:szCs w:val="22"/>
          <w:lang w:val="en-US" w:eastAsia="zh-CN"/>
        </w:rPr>
        <w:t xml:space="preserve">0.5Ts (32Tc)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3CB9D21F" w14:textId="77777777" w:rsidR="00C00FF5" w:rsidRPr="00AA29D8" w:rsidRDefault="00C00FF5" w:rsidP="005009A0">
      <w:pPr>
        <w:spacing w:before="240" w:after="0"/>
        <w:jc w:val="both"/>
        <w:rPr>
          <w:sz w:val="22"/>
          <w:szCs w:val="22"/>
          <w:lang w:eastAsia="zh-CN"/>
        </w:rPr>
      </w:pPr>
    </w:p>
    <w:bookmarkEnd w:id="3"/>
    <w:p w14:paraId="108E5AA7" w14:textId="78495344"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325C2C1B" w14:textId="77777777" w:rsidR="008C57AD" w:rsidRPr="00193ECD" w:rsidRDefault="008C57AD" w:rsidP="008C57AD">
      <w:pPr>
        <w:pStyle w:val="af4"/>
        <w:numPr>
          <w:ilvl w:val="0"/>
          <w:numId w:val="2"/>
        </w:numPr>
        <w:spacing w:before="240"/>
        <w:contextualSpacing w:val="0"/>
        <w:rPr>
          <w:rFonts w:ascii="Times New Roman" w:hAnsi="Times New Roman"/>
          <w:sz w:val="20"/>
        </w:rPr>
      </w:pPr>
      <w:bookmarkStart w:id="4" w:name="_Hlk71560590"/>
      <w:r w:rsidRPr="00193ECD">
        <w:rPr>
          <w:rFonts w:ascii="Times New Roman" w:hAnsi="Times New Roman"/>
          <w:sz w:val="20"/>
        </w:rPr>
        <w:t>R4-2108040</w:t>
      </w:r>
      <w:r w:rsidRPr="00193ECD">
        <w:rPr>
          <w:rFonts w:ascii="Times New Roman" w:hAnsi="Times New Roman"/>
          <w:sz w:val="20"/>
        </w:rPr>
        <w:tab/>
        <w:t>WF on NR RRM UE performance requirements, Intel Corporation</w:t>
      </w:r>
      <w:bookmarkEnd w:id="4"/>
    </w:p>
    <w:p w14:paraId="1F870559" w14:textId="79E29536" w:rsidR="00C05669" w:rsidRDefault="00C05669" w:rsidP="00824223">
      <w:pPr>
        <w:pStyle w:val="af4"/>
        <w:numPr>
          <w:ilvl w:val="0"/>
          <w:numId w:val="2"/>
        </w:numPr>
        <w:spacing w:before="240"/>
        <w:contextualSpacing w:val="0"/>
        <w:rPr>
          <w:rFonts w:ascii="Times New Roman" w:hAnsi="Times New Roman"/>
          <w:sz w:val="20"/>
        </w:rPr>
      </w:pPr>
      <w:r w:rsidRPr="00C05669">
        <w:rPr>
          <w:rFonts w:ascii="Times New Roman" w:hAnsi="Times New Roman"/>
          <w:sz w:val="20"/>
        </w:rPr>
        <w:t xml:space="preserve">R4-2106634 Discussion on UE Rx-Tx timing </w:t>
      </w:r>
      <w:r w:rsidR="00D43E24" w:rsidRPr="00C05669">
        <w:rPr>
          <w:rFonts w:ascii="Times New Roman" w:hAnsi="Times New Roman"/>
          <w:sz w:val="20"/>
        </w:rPr>
        <w:t>difference</w:t>
      </w:r>
      <w:r w:rsidRPr="00C05669">
        <w:rPr>
          <w:rFonts w:ascii="Times New Roman" w:hAnsi="Times New Roman"/>
          <w:sz w:val="20"/>
        </w:rPr>
        <w:t xml:space="preserve"> accuracy requirements</w:t>
      </w:r>
      <w:r>
        <w:rPr>
          <w:rFonts w:ascii="Times New Roman" w:hAnsi="Times New Roman"/>
          <w:sz w:val="20"/>
        </w:rPr>
        <w:t>, vivo</w:t>
      </w:r>
    </w:p>
    <w:p w14:paraId="57F04C15" w14:textId="7E09F93C" w:rsidR="002C0886" w:rsidRDefault="002C0886" w:rsidP="00824223">
      <w:pPr>
        <w:pStyle w:val="af4"/>
        <w:numPr>
          <w:ilvl w:val="0"/>
          <w:numId w:val="2"/>
        </w:numPr>
        <w:spacing w:before="240"/>
        <w:contextualSpacing w:val="0"/>
        <w:rPr>
          <w:rFonts w:ascii="Times New Roman" w:hAnsi="Times New Roman"/>
          <w:sz w:val="20"/>
        </w:rPr>
      </w:pPr>
      <w:r w:rsidRPr="002C0886">
        <w:rPr>
          <w:rFonts w:ascii="Times New Roman" w:hAnsi="Times New Roman"/>
          <w:sz w:val="20"/>
        </w:rPr>
        <w:t>R4-210</w:t>
      </w:r>
      <w:r w:rsidR="001002A6">
        <w:rPr>
          <w:rFonts w:ascii="Times New Roman" w:hAnsi="Times New Roman"/>
          <w:sz w:val="20"/>
        </w:rPr>
        <w:t>9936</w:t>
      </w:r>
      <w:r w:rsidRPr="002C0886">
        <w:rPr>
          <w:rFonts w:ascii="Times New Roman" w:hAnsi="Times New Roman"/>
          <w:sz w:val="20"/>
        </w:rPr>
        <w:t xml:space="preserve"> </w:t>
      </w:r>
      <w:r w:rsidR="001002A6">
        <w:rPr>
          <w:rFonts w:ascii="Times New Roman" w:hAnsi="Times New Roman"/>
          <w:sz w:val="20"/>
        </w:rPr>
        <w:t>Further discussion</w:t>
      </w:r>
      <w:r w:rsidRPr="002C0886">
        <w:rPr>
          <w:rFonts w:ascii="Times New Roman" w:hAnsi="Times New Roman"/>
          <w:sz w:val="20"/>
        </w:rPr>
        <w:t xml:space="preserve"> on UE RX-TX time difference measurement requirements</w:t>
      </w:r>
      <w:r>
        <w:rPr>
          <w:rFonts w:ascii="Times New Roman" w:hAnsi="Times New Roman"/>
          <w:sz w:val="20"/>
        </w:rPr>
        <w:t>, vivo</w:t>
      </w:r>
    </w:p>
    <w:p w14:paraId="116715B9" w14:textId="3DEC3496" w:rsidR="00702FC1" w:rsidRPr="00776015" w:rsidRDefault="00702FC1" w:rsidP="00702FC1">
      <w:pPr>
        <w:pStyle w:val="af4"/>
        <w:numPr>
          <w:ilvl w:val="0"/>
          <w:numId w:val="2"/>
        </w:numPr>
        <w:spacing w:before="240"/>
        <w:contextualSpacing w:val="0"/>
        <w:rPr>
          <w:rFonts w:ascii="Times New Roman" w:hAnsi="Times New Roman"/>
          <w:sz w:val="20"/>
        </w:rPr>
      </w:pPr>
      <w:r w:rsidRPr="00776015">
        <w:rPr>
          <w:rFonts w:ascii="Times New Roman" w:hAnsi="Times New Roman"/>
          <w:sz w:val="20"/>
        </w:rPr>
        <w:t>R4-21</w:t>
      </w:r>
      <w:r w:rsidR="007616F5">
        <w:rPr>
          <w:rFonts w:ascii="Times New Roman" w:hAnsi="Times New Roman"/>
          <w:sz w:val="20"/>
        </w:rPr>
        <w:t>12547</w:t>
      </w:r>
      <w:r w:rsidRPr="00776015">
        <w:rPr>
          <w:rFonts w:ascii="Times New Roman" w:hAnsi="Times New Roman"/>
          <w:sz w:val="20"/>
        </w:rPr>
        <w:t xml:space="preserve"> </w:t>
      </w:r>
      <w:r>
        <w:rPr>
          <w:rFonts w:ascii="Times New Roman" w:hAnsi="Times New Roman"/>
          <w:sz w:val="20"/>
        </w:rPr>
        <w:t xml:space="preserve">Additional </w:t>
      </w:r>
      <w:r w:rsidRPr="00776015">
        <w:rPr>
          <w:rFonts w:ascii="Times New Roman" w:hAnsi="Times New Roman"/>
          <w:sz w:val="20"/>
        </w:rPr>
        <w:t xml:space="preserve">link level simulation result </w:t>
      </w:r>
      <w:r>
        <w:rPr>
          <w:rFonts w:ascii="Times New Roman" w:hAnsi="Times New Roman"/>
          <w:sz w:val="20"/>
        </w:rPr>
        <w:t>for</w:t>
      </w:r>
      <w:r w:rsidRPr="00776015">
        <w:rPr>
          <w:rFonts w:ascii="Times New Roman" w:hAnsi="Times New Roman"/>
          <w:sz w:val="20"/>
        </w:rPr>
        <w:t xml:space="preserve"> </w:t>
      </w:r>
      <w:r>
        <w:rPr>
          <w:rFonts w:ascii="Times New Roman" w:hAnsi="Times New Roman"/>
          <w:sz w:val="20"/>
        </w:rPr>
        <w:t>NR positioning</w:t>
      </w:r>
      <w:r w:rsidRPr="00776015">
        <w:rPr>
          <w:rFonts w:ascii="Times New Roman" w:hAnsi="Times New Roman"/>
          <w:sz w:val="20"/>
        </w:rPr>
        <w:t>, vivo</w:t>
      </w:r>
    </w:p>
    <w:sectPr w:rsidR="00702FC1" w:rsidRPr="0077601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85AE" w14:textId="77777777" w:rsidR="00495632" w:rsidRDefault="00495632">
      <w:r>
        <w:separator/>
      </w:r>
    </w:p>
  </w:endnote>
  <w:endnote w:type="continuationSeparator" w:id="0">
    <w:p w14:paraId="25D3BD77" w14:textId="77777777" w:rsidR="00495632" w:rsidRDefault="0049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2B8F4" w14:textId="77777777" w:rsidR="00495632" w:rsidRDefault="00495632">
      <w:r>
        <w:separator/>
      </w:r>
    </w:p>
  </w:footnote>
  <w:footnote w:type="continuationSeparator" w:id="0">
    <w:p w14:paraId="0E0F4F38" w14:textId="77777777" w:rsidR="00495632" w:rsidRDefault="00495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BB1F0E"/>
    <w:multiLevelType w:val="hybridMultilevel"/>
    <w:tmpl w:val="34AAC62A"/>
    <w:lvl w:ilvl="0" w:tplc="D9DC8BD2">
      <w:start w:val="1"/>
      <w:numFmt w:val="bullet"/>
      <w:lvlText w:val="•"/>
      <w:lvlJc w:val="left"/>
      <w:pPr>
        <w:tabs>
          <w:tab w:val="num" w:pos="720"/>
        </w:tabs>
        <w:ind w:left="720" w:hanging="360"/>
      </w:pPr>
      <w:rPr>
        <w:rFonts w:ascii="Arial" w:hAnsi="Arial" w:hint="default"/>
      </w:rPr>
    </w:lvl>
    <w:lvl w:ilvl="1" w:tplc="5EAA3BA2">
      <w:numFmt w:val="bullet"/>
      <w:lvlText w:val="–"/>
      <w:lvlJc w:val="left"/>
      <w:pPr>
        <w:tabs>
          <w:tab w:val="num" w:pos="1440"/>
        </w:tabs>
        <w:ind w:left="1440" w:hanging="360"/>
      </w:pPr>
      <w:rPr>
        <w:rFonts w:ascii="Arial" w:hAnsi="Arial" w:hint="default"/>
      </w:rPr>
    </w:lvl>
    <w:lvl w:ilvl="2" w:tplc="3670C4C6" w:tentative="1">
      <w:start w:val="1"/>
      <w:numFmt w:val="bullet"/>
      <w:lvlText w:val="•"/>
      <w:lvlJc w:val="left"/>
      <w:pPr>
        <w:tabs>
          <w:tab w:val="num" w:pos="2160"/>
        </w:tabs>
        <w:ind w:left="2160" w:hanging="360"/>
      </w:pPr>
      <w:rPr>
        <w:rFonts w:ascii="Arial" w:hAnsi="Arial" w:hint="default"/>
      </w:rPr>
    </w:lvl>
    <w:lvl w:ilvl="3" w:tplc="7B9A23EC" w:tentative="1">
      <w:start w:val="1"/>
      <w:numFmt w:val="bullet"/>
      <w:lvlText w:val="•"/>
      <w:lvlJc w:val="left"/>
      <w:pPr>
        <w:tabs>
          <w:tab w:val="num" w:pos="2880"/>
        </w:tabs>
        <w:ind w:left="2880" w:hanging="360"/>
      </w:pPr>
      <w:rPr>
        <w:rFonts w:ascii="Arial" w:hAnsi="Arial" w:hint="default"/>
      </w:rPr>
    </w:lvl>
    <w:lvl w:ilvl="4" w:tplc="9642FA2E" w:tentative="1">
      <w:start w:val="1"/>
      <w:numFmt w:val="bullet"/>
      <w:lvlText w:val="•"/>
      <w:lvlJc w:val="left"/>
      <w:pPr>
        <w:tabs>
          <w:tab w:val="num" w:pos="3600"/>
        </w:tabs>
        <w:ind w:left="3600" w:hanging="360"/>
      </w:pPr>
      <w:rPr>
        <w:rFonts w:ascii="Arial" w:hAnsi="Arial" w:hint="default"/>
      </w:rPr>
    </w:lvl>
    <w:lvl w:ilvl="5" w:tplc="57FE418A" w:tentative="1">
      <w:start w:val="1"/>
      <w:numFmt w:val="bullet"/>
      <w:lvlText w:val="•"/>
      <w:lvlJc w:val="left"/>
      <w:pPr>
        <w:tabs>
          <w:tab w:val="num" w:pos="4320"/>
        </w:tabs>
        <w:ind w:left="4320" w:hanging="360"/>
      </w:pPr>
      <w:rPr>
        <w:rFonts w:ascii="Arial" w:hAnsi="Arial" w:hint="default"/>
      </w:rPr>
    </w:lvl>
    <w:lvl w:ilvl="6" w:tplc="CF7C7710" w:tentative="1">
      <w:start w:val="1"/>
      <w:numFmt w:val="bullet"/>
      <w:lvlText w:val="•"/>
      <w:lvlJc w:val="left"/>
      <w:pPr>
        <w:tabs>
          <w:tab w:val="num" w:pos="5040"/>
        </w:tabs>
        <w:ind w:left="5040" w:hanging="360"/>
      </w:pPr>
      <w:rPr>
        <w:rFonts w:ascii="Arial" w:hAnsi="Arial" w:hint="default"/>
      </w:rPr>
    </w:lvl>
    <w:lvl w:ilvl="7" w:tplc="1FB24BD2" w:tentative="1">
      <w:start w:val="1"/>
      <w:numFmt w:val="bullet"/>
      <w:lvlText w:val="•"/>
      <w:lvlJc w:val="left"/>
      <w:pPr>
        <w:tabs>
          <w:tab w:val="num" w:pos="5760"/>
        </w:tabs>
        <w:ind w:left="5760" w:hanging="360"/>
      </w:pPr>
      <w:rPr>
        <w:rFonts w:ascii="Arial" w:hAnsi="Arial" w:hint="default"/>
      </w:rPr>
    </w:lvl>
    <w:lvl w:ilvl="8" w:tplc="27A666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DB1F6E"/>
    <w:multiLevelType w:val="hybridMultilevel"/>
    <w:tmpl w:val="CA12C542"/>
    <w:lvl w:ilvl="0" w:tplc="FF2032B2">
      <w:start w:val="1"/>
      <w:numFmt w:val="bullet"/>
      <w:lvlText w:val="•"/>
      <w:lvlJc w:val="left"/>
      <w:pPr>
        <w:tabs>
          <w:tab w:val="num" w:pos="720"/>
        </w:tabs>
        <w:ind w:left="720" w:hanging="360"/>
      </w:pPr>
      <w:rPr>
        <w:rFonts w:ascii="Arial" w:hAnsi="Arial" w:hint="default"/>
      </w:rPr>
    </w:lvl>
    <w:lvl w:ilvl="1" w:tplc="52B2DCEC">
      <w:numFmt w:val="none"/>
      <w:lvlText w:val=""/>
      <w:lvlJc w:val="left"/>
      <w:pPr>
        <w:tabs>
          <w:tab w:val="num" w:pos="360"/>
        </w:tabs>
      </w:pPr>
    </w:lvl>
    <w:lvl w:ilvl="2" w:tplc="FE0E2422">
      <w:numFmt w:val="none"/>
      <w:lvlText w:val=""/>
      <w:lvlJc w:val="left"/>
      <w:pPr>
        <w:tabs>
          <w:tab w:val="num" w:pos="360"/>
        </w:tabs>
      </w:pPr>
    </w:lvl>
    <w:lvl w:ilvl="3" w:tplc="864A4948" w:tentative="1">
      <w:start w:val="1"/>
      <w:numFmt w:val="bullet"/>
      <w:lvlText w:val="•"/>
      <w:lvlJc w:val="left"/>
      <w:pPr>
        <w:tabs>
          <w:tab w:val="num" w:pos="2880"/>
        </w:tabs>
        <w:ind w:left="2880" w:hanging="360"/>
      </w:pPr>
      <w:rPr>
        <w:rFonts w:ascii="Arial" w:hAnsi="Arial" w:hint="default"/>
      </w:rPr>
    </w:lvl>
    <w:lvl w:ilvl="4" w:tplc="CEFAC84C" w:tentative="1">
      <w:start w:val="1"/>
      <w:numFmt w:val="bullet"/>
      <w:lvlText w:val="•"/>
      <w:lvlJc w:val="left"/>
      <w:pPr>
        <w:tabs>
          <w:tab w:val="num" w:pos="3600"/>
        </w:tabs>
        <w:ind w:left="3600" w:hanging="360"/>
      </w:pPr>
      <w:rPr>
        <w:rFonts w:ascii="Arial" w:hAnsi="Arial" w:hint="default"/>
      </w:rPr>
    </w:lvl>
    <w:lvl w:ilvl="5" w:tplc="B96883D0" w:tentative="1">
      <w:start w:val="1"/>
      <w:numFmt w:val="bullet"/>
      <w:lvlText w:val="•"/>
      <w:lvlJc w:val="left"/>
      <w:pPr>
        <w:tabs>
          <w:tab w:val="num" w:pos="4320"/>
        </w:tabs>
        <w:ind w:left="4320" w:hanging="360"/>
      </w:pPr>
      <w:rPr>
        <w:rFonts w:ascii="Arial" w:hAnsi="Arial" w:hint="default"/>
      </w:rPr>
    </w:lvl>
    <w:lvl w:ilvl="6" w:tplc="67627A40" w:tentative="1">
      <w:start w:val="1"/>
      <w:numFmt w:val="bullet"/>
      <w:lvlText w:val="•"/>
      <w:lvlJc w:val="left"/>
      <w:pPr>
        <w:tabs>
          <w:tab w:val="num" w:pos="5040"/>
        </w:tabs>
        <w:ind w:left="5040" w:hanging="360"/>
      </w:pPr>
      <w:rPr>
        <w:rFonts w:ascii="Arial" w:hAnsi="Arial" w:hint="default"/>
      </w:rPr>
    </w:lvl>
    <w:lvl w:ilvl="7" w:tplc="88A4A6C2" w:tentative="1">
      <w:start w:val="1"/>
      <w:numFmt w:val="bullet"/>
      <w:lvlText w:val="•"/>
      <w:lvlJc w:val="left"/>
      <w:pPr>
        <w:tabs>
          <w:tab w:val="num" w:pos="5760"/>
        </w:tabs>
        <w:ind w:left="5760" w:hanging="360"/>
      </w:pPr>
      <w:rPr>
        <w:rFonts w:ascii="Arial" w:hAnsi="Arial" w:hint="default"/>
      </w:rPr>
    </w:lvl>
    <w:lvl w:ilvl="8" w:tplc="E28A4B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99A3408"/>
    <w:multiLevelType w:val="hybridMultilevel"/>
    <w:tmpl w:val="8C4A713E"/>
    <w:lvl w:ilvl="0" w:tplc="F0DA8648">
      <w:start w:val="1"/>
      <w:numFmt w:val="bullet"/>
      <w:lvlText w:val="•"/>
      <w:lvlJc w:val="left"/>
      <w:pPr>
        <w:tabs>
          <w:tab w:val="num" w:pos="720"/>
        </w:tabs>
        <w:ind w:left="720" w:hanging="360"/>
      </w:pPr>
      <w:rPr>
        <w:rFonts w:ascii="Arial" w:hAnsi="Arial" w:hint="default"/>
      </w:rPr>
    </w:lvl>
    <w:lvl w:ilvl="1" w:tplc="03C60D0A">
      <w:numFmt w:val="bullet"/>
      <w:lvlText w:val="–"/>
      <w:lvlJc w:val="left"/>
      <w:pPr>
        <w:tabs>
          <w:tab w:val="num" w:pos="1440"/>
        </w:tabs>
        <w:ind w:left="1440" w:hanging="360"/>
      </w:pPr>
      <w:rPr>
        <w:rFonts w:ascii="Arial" w:hAnsi="Arial" w:hint="default"/>
      </w:rPr>
    </w:lvl>
    <w:lvl w:ilvl="2" w:tplc="B528391E">
      <w:start w:val="1"/>
      <w:numFmt w:val="bullet"/>
      <w:lvlText w:val="•"/>
      <w:lvlJc w:val="left"/>
      <w:pPr>
        <w:tabs>
          <w:tab w:val="num" w:pos="2160"/>
        </w:tabs>
        <w:ind w:left="2160" w:hanging="360"/>
      </w:pPr>
      <w:rPr>
        <w:rFonts w:ascii="Arial" w:hAnsi="Arial" w:hint="default"/>
      </w:rPr>
    </w:lvl>
    <w:lvl w:ilvl="3" w:tplc="81FE7528" w:tentative="1">
      <w:start w:val="1"/>
      <w:numFmt w:val="bullet"/>
      <w:lvlText w:val="•"/>
      <w:lvlJc w:val="left"/>
      <w:pPr>
        <w:tabs>
          <w:tab w:val="num" w:pos="2880"/>
        </w:tabs>
        <w:ind w:left="2880" w:hanging="360"/>
      </w:pPr>
      <w:rPr>
        <w:rFonts w:ascii="Arial" w:hAnsi="Arial" w:hint="default"/>
      </w:rPr>
    </w:lvl>
    <w:lvl w:ilvl="4" w:tplc="F81A8BA8" w:tentative="1">
      <w:start w:val="1"/>
      <w:numFmt w:val="bullet"/>
      <w:lvlText w:val="•"/>
      <w:lvlJc w:val="left"/>
      <w:pPr>
        <w:tabs>
          <w:tab w:val="num" w:pos="3600"/>
        </w:tabs>
        <w:ind w:left="3600" w:hanging="360"/>
      </w:pPr>
      <w:rPr>
        <w:rFonts w:ascii="Arial" w:hAnsi="Arial" w:hint="default"/>
      </w:rPr>
    </w:lvl>
    <w:lvl w:ilvl="5" w:tplc="4112E1DE" w:tentative="1">
      <w:start w:val="1"/>
      <w:numFmt w:val="bullet"/>
      <w:lvlText w:val="•"/>
      <w:lvlJc w:val="left"/>
      <w:pPr>
        <w:tabs>
          <w:tab w:val="num" w:pos="4320"/>
        </w:tabs>
        <w:ind w:left="4320" w:hanging="360"/>
      </w:pPr>
      <w:rPr>
        <w:rFonts w:ascii="Arial" w:hAnsi="Arial" w:hint="default"/>
      </w:rPr>
    </w:lvl>
    <w:lvl w:ilvl="6" w:tplc="971C7A5A" w:tentative="1">
      <w:start w:val="1"/>
      <w:numFmt w:val="bullet"/>
      <w:lvlText w:val="•"/>
      <w:lvlJc w:val="left"/>
      <w:pPr>
        <w:tabs>
          <w:tab w:val="num" w:pos="5040"/>
        </w:tabs>
        <w:ind w:left="5040" w:hanging="360"/>
      </w:pPr>
      <w:rPr>
        <w:rFonts w:ascii="Arial" w:hAnsi="Arial" w:hint="default"/>
      </w:rPr>
    </w:lvl>
    <w:lvl w:ilvl="7" w:tplc="34C4A0F2" w:tentative="1">
      <w:start w:val="1"/>
      <w:numFmt w:val="bullet"/>
      <w:lvlText w:val="•"/>
      <w:lvlJc w:val="left"/>
      <w:pPr>
        <w:tabs>
          <w:tab w:val="num" w:pos="5760"/>
        </w:tabs>
        <w:ind w:left="5760" w:hanging="360"/>
      </w:pPr>
      <w:rPr>
        <w:rFonts w:ascii="Arial" w:hAnsi="Arial" w:hint="default"/>
      </w:rPr>
    </w:lvl>
    <w:lvl w:ilvl="8" w:tplc="E59058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tentative="1">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824732"/>
    <w:multiLevelType w:val="hybridMultilevel"/>
    <w:tmpl w:val="FF18DB1C"/>
    <w:lvl w:ilvl="0" w:tplc="707CC000">
      <w:start w:val="1"/>
      <w:numFmt w:val="bullet"/>
      <w:lvlText w:val="•"/>
      <w:lvlJc w:val="left"/>
      <w:pPr>
        <w:tabs>
          <w:tab w:val="num" w:pos="720"/>
        </w:tabs>
        <w:ind w:left="720" w:hanging="360"/>
      </w:pPr>
      <w:rPr>
        <w:rFonts w:ascii="Arial" w:hAnsi="Arial" w:hint="default"/>
      </w:rPr>
    </w:lvl>
    <w:lvl w:ilvl="1" w:tplc="4294A66A">
      <w:numFmt w:val="bullet"/>
      <w:lvlText w:val="–"/>
      <w:lvlJc w:val="left"/>
      <w:pPr>
        <w:tabs>
          <w:tab w:val="num" w:pos="1440"/>
        </w:tabs>
        <w:ind w:left="1440" w:hanging="360"/>
      </w:pPr>
      <w:rPr>
        <w:rFonts w:ascii="Arial" w:hAnsi="Arial" w:hint="default"/>
      </w:rPr>
    </w:lvl>
    <w:lvl w:ilvl="2" w:tplc="BA0CEC2A">
      <w:numFmt w:val="bullet"/>
      <w:lvlText w:val="•"/>
      <w:lvlJc w:val="left"/>
      <w:pPr>
        <w:tabs>
          <w:tab w:val="num" w:pos="2160"/>
        </w:tabs>
        <w:ind w:left="2160" w:hanging="360"/>
      </w:pPr>
      <w:rPr>
        <w:rFonts w:ascii="Arial" w:hAnsi="Arial" w:hint="default"/>
      </w:rPr>
    </w:lvl>
    <w:lvl w:ilvl="3" w:tplc="BAC6E87E" w:tentative="1">
      <w:start w:val="1"/>
      <w:numFmt w:val="bullet"/>
      <w:lvlText w:val="•"/>
      <w:lvlJc w:val="left"/>
      <w:pPr>
        <w:tabs>
          <w:tab w:val="num" w:pos="2880"/>
        </w:tabs>
        <w:ind w:left="2880" w:hanging="360"/>
      </w:pPr>
      <w:rPr>
        <w:rFonts w:ascii="Arial" w:hAnsi="Arial" w:hint="default"/>
      </w:rPr>
    </w:lvl>
    <w:lvl w:ilvl="4" w:tplc="A9EAFB82" w:tentative="1">
      <w:start w:val="1"/>
      <w:numFmt w:val="bullet"/>
      <w:lvlText w:val="•"/>
      <w:lvlJc w:val="left"/>
      <w:pPr>
        <w:tabs>
          <w:tab w:val="num" w:pos="3600"/>
        </w:tabs>
        <w:ind w:left="3600" w:hanging="360"/>
      </w:pPr>
      <w:rPr>
        <w:rFonts w:ascii="Arial" w:hAnsi="Arial" w:hint="default"/>
      </w:rPr>
    </w:lvl>
    <w:lvl w:ilvl="5" w:tplc="6256D1DC" w:tentative="1">
      <w:start w:val="1"/>
      <w:numFmt w:val="bullet"/>
      <w:lvlText w:val="•"/>
      <w:lvlJc w:val="left"/>
      <w:pPr>
        <w:tabs>
          <w:tab w:val="num" w:pos="4320"/>
        </w:tabs>
        <w:ind w:left="4320" w:hanging="360"/>
      </w:pPr>
      <w:rPr>
        <w:rFonts w:ascii="Arial" w:hAnsi="Arial" w:hint="default"/>
      </w:rPr>
    </w:lvl>
    <w:lvl w:ilvl="6" w:tplc="7BFAB786" w:tentative="1">
      <w:start w:val="1"/>
      <w:numFmt w:val="bullet"/>
      <w:lvlText w:val="•"/>
      <w:lvlJc w:val="left"/>
      <w:pPr>
        <w:tabs>
          <w:tab w:val="num" w:pos="5040"/>
        </w:tabs>
        <w:ind w:left="5040" w:hanging="360"/>
      </w:pPr>
      <w:rPr>
        <w:rFonts w:ascii="Arial" w:hAnsi="Arial" w:hint="default"/>
      </w:rPr>
    </w:lvl>
    <w:lvl w:ilvl="7" w:tplc="1846A226" w:tentative="1">
      <w:start w:val="1"/>
      <w:numFmt w:val="bullet"/>
      <w:lvlText w:val="•"/>
      <w:lvlJc w:val="left"/>
      <w:pPr>
        <w:tabs>
          <w:tab w:val="num" w:pos="5760"/>
        </w:tabs>
        <w:ind w:left="5760" w:hanging="360"/>
      </w:pPr>
      <w:rPr>
        <w:rFonts w:ascii="Arial" w:hAnsi="Arial" w:hint="default"/>
      </w:rPr>
    </w:lvl>
    <w:lvl w:ilvl="8" w:tplc="330820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F65105"/>
    <w:multiLevelType w:val="hybridMultilevel"/>
    <w:tmpl w:val="E52C899E"/>
    <w:lvl w:ilvl="0" w:tplc="1C789994">
      <w:start w:val="1"/>
      <w:numFmt w:val="bullet"/>
      <w:lvlText w:val="•"/>
      <w:lvlJc w:val="left"/>
      <w:pPr>
        <w:tabs>
          <w:tab w:val="num" w:pos="720"/>
        </w:tabs>
        <w:ind w:left="720" w:hanging="360"/>
      </w:pPr>
      <w:rPr>
        <w:rFonts w:ascii="Arial" w:hAnsi="Arial" w:hint="default"/>
      </w:rPr>
    </w:lvl>
    <w:lvl w:ilvl="1" w:tplc="72F0CFE0">
      <w:numFmt w:val="bullet"/>
      <w:lvlText w:val="–"/>
      <w:lvlJc w:val="left"/>
      <w:pPr>
        <w:tabs>
          <w:tab w:val="num" w:pos="1440"/>
        </w:tabs>
        <w:ind w:left="1440" w:hanging="360"/>
      </w:pPr>
      <w:rPr>
        <w:rFonts w:ascii="Arial" w:hAnsi="Arial" w:hint="default"/>
      </w:rPr>
    </w:lvl>
    <w:lvl w:ilvl="2" w:tplc="66E02EDE" w:tentative="1">
      <w:start w:val="1"/>
      <w:numFmt w:val="bullet"/>
      <w:lvlText w:val="•"/>
      <w:lvlJc w:val="left"/>
      <w:pPr>
        <w:tabs>
          <w:tab w:val="num" w:pos="2160"/>
        </w:tabs>
        <w:ind w:left="2160" w:hanging="360"/>
      </w:pPr>
      <w:rPr>
        <w:rFonts w:ascii="Arial" w:hAnsi="Arial" w:hint="default"/>
      </w:rPr>
    </w:lvl>
    <w:lvl w:ilvl="3" w:tplc="77162224" w:tentative="1">
      <w:start w:val="1"/>
      <w:numFmt w:val="bullet"/>
      <w:lvlText w:val="•"/>
      <w:lvlJc w:val="left"/>
      <w:pPr>
        <w:tabs>
          <w:tab w:val="num" w:pos="2880"/>
        </w:tabs>
        <w:ind w:left="2880" w:hanging="360"/>
      </w:pPr>
      <w:rPr>
        <w:rFonts w:ascii="Arial" w:hAnsi="Arial" w:hint="default"/>
      </w:rPr>
    </w:lvl>
    <w:lvl w:ilvl="4" w:tplc="1800225A" w:tentative="1">
      <w:start w:val="1"/>
      <w:numFmt w:val="bullet"/>
      <w:lvlText w:val="•"/>
      <w:lvlJc w:val="left"/>
      <w:pPr>
        <w:tabs>
          <w:tab w:val="num" w:pos="3600"/>
        </w:tabs>
        <w:ind w:left="3600" w:hanging="360"/>
      </w:pPr>
      <w:rPr>
        <w:rFonts w:ascii="Arial" w:hAnsi="Arial" w:hint="default"/>
      </w:rPr>
    </w:lvl>
    <w:lvl w:ilvl="5" w:tplc="40AEB86A" w:tentative="1">
      <w:start w:val="1"/>
      <w:numFmt w:val="bullet"/>
      <w:lvlText w:val="•"/>
      <w:lvlJc w:val="left"/>
      <w:pPr>
        <w:tabs>
          <w:tab w:val="num" w:pos="4320"/>
        </w:tabs>
        <w:ind w:left="4320" w:hanging="360"/>
      </w:pPr>
      <w:rPr>
        <w:rFonts w:ascii="Arial" w:hAnsi="Arial" w:hint="default"/>
      </w:rPr>
    </w:lvl>
    <w:lvl w:ilvl="6" w:tplc="3AE6D5F8" w:tentative="1">
      <w:start w:val="1"/>
      <w:numFmt w:val="bullet"/>
      <w:lvlText w:val="•"/>
      <w:lvlJc w:val="left"/>
      <w:pPr>
        <w:tabs>
          <w:tab w:val="num" w:pos="5040"/>
        </w:tabs>
        <w:ind w:left="5040" w:hanging="360"/>
      </w:pPr>
      <w:rPr>
        <w:rFonts w:ascii="Arial" w:hAnsi="Arial" w:hint="default"/>
      </w:rPr>
    </w:lvl>
    <w:lvl w:ilvl="7" w:tplc="173A5DC8" w:tentative="1">
      <w:start w:val="1"/>
      <w:numFmt w:val="bullet"/>
      <w:lvlText w:val="•"/>
      <w:lvlJc w:val="left"/>
      <w:pPr>
        <w:tabs>
          <w:tab w:val="num" w:pos="5760"/>
        </w:tabs>
        <w:ind w:left="5760" w:hanging="360"/>
      </w:pPr>
      <w:rPr>
        <w:rFonts w:ascii="Arial" w:hAnsi="Arial" w:hint="default"/>
      </w:rPr>
    </w:lvl>
    <w:lvl w:ilvl="8" w:tplc="2460E2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B442F38"/>
    <w:multiLevelType w:val="hybridMultilevel"/>
    <w:tmpl w:val="7A5A4F40"/>
    <w:lvl w:ilvl="0" w:tplc="C0947500">
      <w:start w:val="1"/>
      <w:numFmt w:val="bullet"/>
      <w:lvlText w:val="•"/>
      <w:lvlJc w:val="left"/>
      <w:pPr>
        <w:tabs>
          <w:tab w:val="num" w:pos="720"/>
        </w:tabs>
        <w:ind w:left="720" w:hanging="360"/>
      </w:pPr>
      <w:rPr>
        <w:rFonts w:ascii="Arial" w:hAnsi="Arial" w:hint="default"/>
      </w:rPr>
    </w:lvl>
    <w:lvl w:ilvl="1" w:tplc="0DCEFA20">
      <w:numFmt w:val="bullet"/>
      <w:lvlText w:val="–"/>
      <w:lvlJc w:val="left"/>
      <w:pPr>
        <w:tabs>
          <w:tab w:val="num" w:pos="1440"/>
        </w:tabs>
        <w:ind w:left="1440" w:hanging="360"/>
      </w:pPr>
      <w:rPr>
        <w:rFonts w:ascii="Arial" w:hAnsi="Arial" w:hint="default"/>
      </w:rPr>
    </w:lvl>
    <w:lvl w:ilvl="2" w:tplc="2230FA8E" w:tentative="1">
      <w:start w:val="1"/>
      <w:numFmt w:val="bullet"/>
      <w:lvlText w:val="•"/>
      <w:lvlJc w:val="left"/>
      <w:pPr>
        <w:tabs>
          <w:tab w:val="num" w:pos="2160"/>
        </w:tabs>
        <w:ind w:left="2160" w:hanging="360"/>
      </w:pPr>
      <w:rPr>
        <w:rFonts w:ascii="Arial" w:hAnsi="Arial" w:hint="default"/>
      </w:rPr>
    </w:lvl>
    <w:lvl w:ilvl="3" w:tplc="BBD0CCAE" w:tentative="1">
      <w:start w:val="1"/>
      <w:numFmt w:val="bullet"/>
      <w:lvlText w:val="•"/>
      <w:lvlJc w:val="left"/>
      <w:pPr>
        <w:tabs>
          <w:tab w:val="num" w:pos="2880"/>
        </w:tabs>
        <w:ind w:left="2880" w:hanging="360"/>
      </w:pPr>
      <w:rPr>
        <w:rFonts w:ascii="Arial" w:hAnsi="Arial" w:hint="default"/>
      </w:rPr>
    </w:lvl>
    <w:lvl w:ilvl="4" w:tplc="D2768BA0" w:tentative="1">
      <w:start w:val="1"/>
      <w:numFmt w:val="bullet"/>
      <w:lvlText w:val="•"/>
      <w:lvlJc w:val="left"/>
      <w:pPr>
        <w:tabs>
          <w:tab w:val="num" w:pos="3600"/>
        </w:tabs>
        <w:ind w:left="3600" w:hanging="360"/>
      </w:pPr>
      <w:rPr>
        <w:rFonts w:ascii="Arial" w:hAnsi="Arial" w:hint="default"/>
      </w:rPr>
    </w:lvl>
    <w:lvl w:ilvl="5" w:tplc="EA845E00" w:tentative="1">
      <w:start w:val="1"/>
      <w:numFmt w:val="bullet"/>
      <w:lvlText w:val="•"/>
      <w:lvlJc w:val="left"/>
      <w:pPr>
        <w:tabs>
          <w:tab w:val="num" w:pos="4320"/>
        </w:tabs>
        <w:ind w:left="4320" w:hanging="360"/>
      </w:pPr>
      <w:rPr>
        <w:rFonts w:ascii="Arial" w:hAnsi="Arial" w:hint="default"/>
      </w:rPr>
    </w:lvl>
    <w:lvl w:ilvl="6" w:tplc="992A6E42" w:tentative="1">
      <w:start w:val="1"/>
      <w:numFmt w:val="bullet"/>
      <w:lvlText w:val="•"/>
      <w:lvlJc w:val="left"/>
      <w:pPr>
        <w:tabs>
          <w:tab w:val="num" w:pos="5040"/>
        </w:tabs>
        <w:ind w:left="5040" w:hanging="360"/>
      </w:pPr>
      <w:rPr>
        <w:rFonts w:ascii="Arial" w:hAnsi="Arial" w:hint="default"/>
      </w:rPr>
    </w:lvl>
    <w:lvl w:ilvl="7" w:tplc="4A147802" w:tentative="1">
      <w:start w:val="1"/>
      <w:numFmt w:val="bullet"/>
      <w:lvlText w:val="•"/>
      <w:lvlJc w:val="left"/>
      <w:pPr>
        <w:tabs>
          <w:tab w:val="num" w:pos="5760"/>
        </w:tabs>
        <w:ind w:left="5760" w:hanging="360"/>
      </w:pPr>
      <w:rPr>
        <w:rFonts w:ascii="Arial" w:hAnsi="Arial" w:hint="default"/>
      </w:rPr>
    </w:lvl>
    <w:lvl w:ilvl="8" w:tplc="5FD6343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3"/>
  </w:num>
  <w:num w:numId="4">
    <w:abstractNumId w:val="2"/>
  </w:num>
  <w:num w:numId="5">
    <w:abstractNumId w:val="5"/>
  </w:num>
  <w:num w:numId="6">
    <w:abstractNumId w:val="9"/>
  </w:num>
  <w:num w:numId="7">
    <w:abstractNumId w:val="7"/>
  </w:num>
  <w:num w:numId="8">
    <w:abstractNumId w:val="1"/>
  </w:num>
  <w:num w:numId="9">
    <w:abstractNumId w:val="4"/>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6E5"/>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1BC"/>
    <w:rsid w:val="000F5E32"/>
    <w:rsid w:val="000F6125"/>
    <w:rsid w:val="000F67DF"/>
    <w:rsid w:val="000F7102"/>
    <w:rsid w:val="000F746D"/>
    <w:rsid w:val="000F75F1"/>
    <w:rsid w:val="000F7768"/>
    <w:rsid w:val="000F78C5"/>
    <w:rsid w:val="000F7FB6"/>
    <w:rsid w:val="001002A6"/>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E2A"/>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0EFD"/>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31A"/>
    <w:rsid w:val="00207BEF"/>
    <w:rsid w:val="00210244"/>
    <w:rsid w:val="00210F4F"/>
    <w:rsid w:val="00210FDC"/>
    <w:rsid w:val="002110DC"/>
    <w:rsid w:val="002119F3"/>
    <w:rsid w:val="00211C5A"/>
    <w:rsid w:val="00212CE8"/>
    <w:rsid w:val="00212EB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3C87"/>
    <w:rsid w:val="00225F04"/>
    <w:rsid w:val="0022788F"/>
    <w:rsid w:val="00227F9C"/>
    <w:rsid w:val="00230723"/>
    <w:rsid w:val="00230F0C"/>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395"/>
    <w:rsid w:val="00281CD8"/>
    <w:rsid w:val="00281D97"/>
    <w:rsid w:val="00282919"/>
    <w:rsid w:val="00283073"/>
    <w:rsid w:val="0028349E"/>
    <w:rsid w:val="00283DDE"/>
    <w:rsid w:val="00283E36"/>
    <w:rsid w:val="00284F7B"/>
    <w:rsid w:val="002857E7"/>
    <w:rsid w:val="002860C4"/>
    <w:rsid w:val="002869AA"/>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0886"/>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5F7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6ED8"/>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2974"/>
    <w:rsid w:val="00363F28"/>
    <w:rsid w:val="00364262"/>
    <w:rsid w:val="003645D7"/>
    <w:rsid w:val="0036497A"/>
    <w:rsid w:val="00364F60"/>
    <w:rsid w:val="00365CE1"/>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2806"/>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37454"/>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50DF"/>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632"/>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1BA"/>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41E"/>
    <w:rsid w:val="004F762E"/>
    <w:rsid w:val="00500308"/>
    <w:rsid w:val="005009A0"/>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2FC1"/>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606"/>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16F5"/>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3EBD"/>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3F9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B9F"/>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223"/>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0F5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7AD"/>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F5A"/>
    <w:rsid w:val="00956165"/>
    <w:rsid w:val="009564D6"/>
    <w:rsid w:val="009566BB"/>
    <w:rsid w:val="0095721F"/>
    <w:rsid w:val="00957279"/>
    <w:rsid w:val="00960073"/>
    <w:rsid w:val="00960122"/>
    <w:rsid w:val="00960590"/>
    <w:rsid w:val="009605F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B8"/>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52EE"/>
    <w:rsid w:val="0099606D"/>
    <w:rsid w:val="0099651F"/>
    <w:rsid w:val="00997593"/>
    <w:rsid w:val="009A04CC"/>
    <w:rsid w:val="009A0747"/>
    <w:rsid w:val="009A076A"/>
    <w:rsid w:val="009A1FFB"/>
    <w:rsid w:val="009A276A"/>
    <w:rsid w:val="009A2DEB"/>
    <w:rsid w:val="009A3168"/>
    <w:rsid w:val="009A3564"/>
    <w:rsid w:val="009A424D"/>
    <w:rsid w:val="009A579D"/>
    <w:rsid w:val="009A6811"/>
    <w:rsid w:val="009A6F8D"/>
    <w:rsid w:val="009A7FEA"/>
    <w:rsid w:val="009B05F4"/>
    <w:rsid w:val="009B0981"/>
    <w:rsid w:val="009B1AF2"/>
    <w:rsid w:val="009B2AC7"/>
    <w:rsid w:val="009B2C74"/>
    <w:rsid w:val="009B46C6"/>
    <w:rsid w:val="009B4CCF"/>
    <w:rsid w:val="009B5909"/>
    <w:rsid w:val="009B5C55"/>
    <w:rsid w:val="009B6468"/>
    <w:rsid w:val="009B6770"/>
    <w:rsid w:val="009B7792"/>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37F50"/>
    <w:rsid w:val="00A41F5E"/>
    <w:rsid w:val="00A42209"/>
    <w:rsid w:val="00A428D5"/>
    <w:rsid w:val="00A42D9F"/>
    <w:rsid w:val="00A436DD"/>
    <w:rsid w:val="00A43C75"/>
    <w:rsid w:val="00A443F6"/>
    <w:rsid w:val="00A448B7"/>
    <w:rsid w:val="00A44EAA"/>
    <w:rsid w:val="00A45473"/>
    <w:rsid w:val="00A45903"/>
    <w:rsid w:val="00A45B81"/>
    <w:rsid w:val="00A45EBF"/>
    <w:rsid w:val="00A45EF3"/>
    <w:rsid w:val="00A46152"/>
    <w:rsid w:val="00A46D3A"/>
    <w:rsid w:val="00A472FC"/>
    <w:rsid w:val="00A47E70"/>
    <w:rsid w:val="00A50196"/>
    <w:rsid w:val="00A50B79"/>
    <w:rsid w:val="00A50F50"/>
    <w:rsid w:val="00A517CE"/>
    <w:rsid w:val="00A52B5F"/>
    <w:rsid w:val="00A53280"/>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523"/>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29D8"/>
    <w:rsid w:val="00AA332D"/>
    <w:rsid w:val="00AA3521"/>
    <w:rsid w:val="00AA3750"/>
    <w:rsid w:val="00AA486C"/>
    <w:rsid w:val="00AA4DDE"/>
    <w:rsid w:val="00AA5EC6"/>
    <w:rsid w:val="00AA66C7"/>
    <w:rsid w:val="00AA6833"/>
    <w:rsid w:val="00AA71B4"/>
    <w:rsid w:val="00AB024D"/>
    <w:rsid w:val="00AB0643"/>
    <w:rsid w:val="00AB08F2"/>
    <w:rsid w:val="00AB0993"/>
    <w:rsid w:val="00AB1466"/>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742"/>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C5DD0"/>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3CC2"/>
    <w:rsid w:val="00BF4390"/>
    <w:rsid w:val="00BF4E8E"/>
    <w:rsid w:val="00BF54BE"/>
    <w:rsid w:val="00BF5659"/>
    <w:rsid w:val="00BF5843"/>
    <w:rsid w:val="00BF68BB"/>
    <w:rsid w:val="00BF6E24"/>
    <w:rsid w:val="00BF6F62"/>
    <w:rsid w:val="00BF7C9F"/>
    <w:rsid w:val="00C00273"/>
    <w:rsid w:val="00C00FF5"/>
    <w:rsid w:val="00C01284"/>
    <w:rsid w:val="00C01F18"/>
    <w:rsid w:val="00C02101"/>
    <w:rsid w:val="00C0253B"/>
    <w:rsid w:val="00C02768"/>
    <w:rsid w:val="00C04100"/>
    <w:rsid w:val="00C054FF"/>
    <w:rsid w:val="00C05669"/>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6B31"/>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2F3E"/>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4E5A"/>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4DE4"/>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9D8"/>
    <w:rsid w:val="00D26AB7"/>
    <w:rsid w:val="00D26C14"/>
    <w:rsid w:val="00D26C45"/>
    <w:rsid w:val="00D27016"/>
    <w:rsid w:val="00D279AF"/>
    <w:rsid w:val="00D30117"/>
    <w:rsid w:val="00D30EF7"/>
    <w:rsid w:val="00D315AE"/>
    <w:rsid w:val="00D317F9"/>
    <w:rsid w:val="00D3235D"/>
    <w:rsid w:val="00D348D4"/>
    <w:rsid w:val="00D34DDC"/>
    <w:rsid w:val="00D3610A"/>
    <w:rsid w:val="00D36ABF"/>
    <w:rsid w:val="00D36F8F"/>
    <w:rsid w:val="00D373B4"/>
    <w:rsid w:val="00D4060A"/>
    <w:rsid w:val="00D4061E"/>
    <w:rsid w:val="00D41202"/>
    <w:rsid w:val="00D42360"/>
    <w:rsid w:val="00D426E7"/>
    <w:rsid w:val="00D42AAA"/>
    <w:rsid w:val="00D43E24"/>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2F86"/>
    <w:rsid w:val="00D85D4B"/>
    <w:rsid w:val="00D86738"/>
    <w:rsid w:val="00D868AF"/>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52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7E"/>
    <w:rsid w:val="00DC40E0"/>
    <w:rsid w:val="00DC4762"/>
    <w:rsid w:val="00DC56B4"/>
    <w:rsid w:val="00DC5B9E"/>
    <w:rsid w:val="00DC7597"/>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3F6F"/>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264"/>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0956"/>
    <w:rsid w:val="00E7171A"/>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19FD"/>
    <w:rsid w:val="00E920CC"/>
    <w:rsid w:val="00E92325"/>
    <w:rsid w:val="00E92696"/>
    <w:rsid w:val="00E92BFC"/>
    <w:rsid w:val="00E948DA"/>
    <w:rsid w:val="00E948E6"/>
    <w:rsid w:val="00E95E21"/>
    <w:rsid w:val="00E95EB6"/>
    <w:rsid w:val="00E960B6"/>
    <w:rsid w:val="00E96546"/>
    <w:rsid w:val="00E97213"/>
    <w:rsid w:val="00E97292"/>
    <w:rsid w:val="00E9766B"/>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79B"/>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B03"/>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2BB"/>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3D1"/>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0D82"/>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C51"/>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B3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027129">
      <w:bodyDiv w:val="1"/>
      <w:marLeft w:val="0"/>
      <w:marRight w:val="0"/>
      <w:marTop w:val="0"/>
      <w:marBottom w:val="0"/>
      <w:divBdr>
        <w:top w:val="none" w:sz="0" w:space="0" w:color="auto"/>
        <w:left w:val="none" w:sz="0" w:space="0" w:color="auto"/>
        <w:bottom w:val="none" w:sz="0" w:space="0" w:color="auto"/>
        <w:right w:val="none" w:sz="0" w:space="0" w:color="auto"/>
      </w:divBdr>
      <w:divsChild>
        <w:div w:id="945962516">
          <w:marLeft w:val="547"/>
          <w:marRight w:val="0"/>
          <w:marTop w:val="120"/>
          <w:marBottom w:val="0"/>
          <w:divBdr>
            <w:top w:val="none" w:sz="0" w:space="0" w:color="auto"/>
            <w:left w:val="none" w:sz="0" w:space="0" w:color="auto"/>
            <w:bottom w:val="none" w:sz="0" w:space="0" w:color="auto"/>
            <w:right w:val="none" w:sz="0" w:space="0" w:color="auto"/>
          </w:divBdr>
        </w:div>
        <w:div w:id="1439593770">
          <w:marLeft w:val="1166"/>
          <w:marRight w:val="0"/>
          <w:marTop w:val="106"/>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25235385">
      <w:bodyDiv w:val="1"/>
      <w:marLeft w:val="0"/>
      <w:marRight w:val="0"/>
      <w:marTop w:val="0"/>
      <w:marBottom w:val="0"/>
      <w:divBdr>
        <w:top w:val="none" w:sz="0" w:space="0" w:color="auto"/>
        <w:left w:val="none" w:sz="0" w:space="0" w:color="auto"/>
        <w:bottom w:val="none" w:sz="0" w:space="0" w:color="auto"/>
        <w:right w:val="none" w:sz="0" w:space="0" w:color="auto"/>
      </w:divBdr>
      <w:divsChild>
        <w:div w:id="697586149">
          <w:marLeft w:val="547"/>
          <w:marRight w:val="0"/>
          <w:marTop w:val="144"/>
          <w:marBottom w:val="0"/>
          <w:divBdr>
            <w:top w:val="none" w:sz="0" w:space="0" w:color="auto"/>
            <w:left w:val="none" w:sz="0" w:space="0" w:color="auto"/>
            <w:bottom w:val="none" w:sz="0" w:space="0" w:color="auto"/>
            <w:right w:val="none" w:sz="0" w:space="0" w:color="auto"/>
          </w:divBdr>
        </w:div>
        <w:div w:id="1017734552">
          <w:marLeft w:val="1166"/>
          <w:marRight w:val="0"/>
          <w:marTop w:val="125"/>
          <w:marBottom w:val="0"/>
          <w:divBdr>
            <w:top w:val="none" w:sz="0" w:space="0" w:color="auto"/>
            <w:left w:val="none" w:sz="0" w:space="0" w:color="auto"/>
            <w:bottom w:val="none" w:sz="0" w:space="0" w:color="auto"/>
            <w:right w:val="none" w:sz="0" w:space="0" w:color="auto"/>
          </w:divBdr>
        </w:div>
        <w:div w:id="1035153289">
          <w:marLeft w:val="1166"/>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06221938">
      <w:bodyDiv w:val="1"/>
      <w:marLeft w:val="0"/>
      <w:marRight w:val="0"/>
      <w:marTop w:val="0"/>
      <w:marBottom w:val="0"/>
      <w:divBdr>
        <w:top w:val="none" w:sz="0" w:space="0" w:color="auto"/>
        <w:left w:val="none" w:sz="0" w:space="0" w:color="auto"/>
        <w:bottom w:val="none" w:sz="0" w:space="0" w:color="auto"/>
        <w:right w:val="none" w:sz="0" w:space="0" w:color="auto"/>
      </w:divBdr>
      <w:divsChild>
        <w:div w:id="863060912">
          <w:marLeft w:val="547"/>
          <w:marRight w:val="0"/>
          <w:marTop w:val="120"/>
          <w:marBottom w:val="0"/>
          <w:divBdr>
            <w:top w:val="none" w:sz="0" w:space="0" w:color="auto"/>
            <w:left w:val="none" w:sz="0" w:space="0" w:color="auto"/>
            <w:bottom w:val="none" w:sz="0" w:space="0" w:color="auto"/>
            <w:right w:val="none" w:sz="0" w:space="0" w:color="auto"/>
          </w:divBdr>
        </w:div>
        <w:div w:id="1731880888">
          <w:marLeft w:val="1166"/>
          <w:marRight w:val="0"/>
          <w:marTop w:val="106"/>
          <w:marBottom w:val="0"/>
          <w:divBdr>
            <w:top w:val="none" w:sz="0" w:space="0" w:color="auto"/>
            <w:left w:val="none" w:sz="0" w:space="0" w:color="auto"/>
            <w:bottom w:val="none" w:sz="0" w:space="0" w:color="auto"/>
            <w:right w:val="none" w:sz="0" w:space="0" w:color="auto"/>
          </w:divBdr>
        </w:div>
        <w:div w:id="1293514036">
          <w:marLeft w:val="1166"/>
          <w:marRight w:val="0"/>
          <w:marTop w:val="106"/>
          <w:marBottom w:val="0"/>
          <w:divBdr>
            <w:top w:val="none" w:sz="0" w:space="0" w:color="auto"/>
            <w:left w:val="none" w:sz="0" w:space="0" w:color="auto"/>
            <w:bottom w:val="none" w:sz="0" w:space="0" w:color="auto"/>
            <w:right w:val="none" w:sz="0" w:space="0" w:color="auto"/>
          </w:divBdr>
        </w:div>
        <w:div w:id="468207782">
          <w:marLeft w:val="547"/>
          <w:marRight w:val="0"/>
          <w:marTop w:val="120"/>
          <w:marBottom w:val="0"/>
          <w:divBdr>
            <w:top w:val="none" w:sz="0" w:space="0" w:color="auto"/>
            <w:left w:val="none" w:sz="0" w:space="0" w:color="auto"/>
            <w:bottom w:val="none" w:sz="0" w:space="0" w:color="auto"/>
            <w:right w:val="none" w:sz="0" w:space="0" w:color="auto"/>
          </w:divBdr>
        </w:div>
        <w:div w:id="1582566334">
          <w:marLeft w:val="1166"/>
          <w:marRight w:val="0"/>
          <w:marTop w:val="106"/>
          <w:marBottom w:val="0"/>
          <w:divBdr>
            <w:top w:val="none" w:sz="0" w:space="0" w:color="auto"/>
            <w:left w:val="none" w:sz="0" w:space="0" w:color="auto"/>
            <w:bottom w:val="none" w:sz="0" w:space="0" w:color="auto"/>
            <w:right w:val="none" w:sz="0" w:space="0" w:color="auto"/>
          </w:divBdr>
        </w:div>
        <w:div w:id="1839231330">
          <w:marLeft w:val="1166"/>
          <w:marRight w:val="0"/>
          <w:marTop w:val="106"/>
          <w:marBottom w:val="0"/>
          <w:divBdr>
            <w:top w:val="none" w:sz="0" w:space="0" w:color="auto"/>
            <w:left w:val="none" w:sz="0" w:space="0" w:color="auto"/>
            <w:bottom w:val="none" w:sz="0" w:space="0" w:color="auto"/>
            <w:right w:val="none" w:sz="0" w:space="0" w:color="auto"/>
          </w:divBdr>
        </w:div>
        <w:div w:id="600995284">
          <w:marLeft w:val="1800"/>
          <w:marRight w:val="0"/>
          <w:marTop w:val="91"/>
          <w:marBottom w:val="0"/>
          <w:divBdr>
            <w:top w:val="none" w:sz="0" w:space="0" w:color="auto"/>
            <w:left w:val="none" w:sz="0" w:space="0" w:color="auto"/>
            <w:bottom w:val="none" w:sz="0" w:space="0" w:color="auto"/>
            <w:right w:val="none" w:sz="0" w:space="0" w:color="auto"/>
          </w:divBdr>
        </w:div>
        <w:div w:id="2062241763">
          <w:marLeft w:val="1800"/>
          <w:marRight w:val="0"/>
          <w:marTop w:val="91"/>
          <w:marBottom w:val="0"/>
          <w:divBdr>
            <w:top w:val="none" w:sz="0" w:space="0" w:color="auto"/>
            <w:left w:val="none" w:sz="0" w:space="0" w:color="auto"/>
            <w:bottom w:val="none" w:sz="0" w:space="0" w:color="auto"/>
            <w:right w:val="none" w:sz="0" w:space="0" w:color="auto"/>
          </w:divBdr>
        </w:div>
        <w:div w:id="323171596">
          <w:marLeft w:val="1166"/>
          <w:marRight w:val="0"/>
          <w:marTop w:val="106"/>
          <w:marBottom w:val="0"/>
          <w:divBdr>
            <w:top w:val="none" w:sz="0" w:space="0" w:color="auto"/>
            <w:left w:val="none" w:sz="0" w:space="0" w:color="auto"/>
            <w:bottom w:val="none" w:sz="0" w:space="0" w:color="auto"/>
            <w:right w:val="none" w:sz="0" w:space="0" w:color="auto"/>
          </w:divBdr>
        </w:div>
      </w:divsChild>
    </w:div>
    <w:div w:id="779959132">
      <w:bodyDiv w:val="1"/>
      <w:marLeft w:val="0"/>
      <w:marRight w:val="0"/>
      <w:marTop w:val="0"/>
      <w:marBottom w:val="0"/>
      <w:divBdr>
        <w:top w:val="none" w:sz="0" w:space="0" w:color="auto"/>
        <w:left w:val="none" w:sz="0" w:space="0" w:color="auto"/>
        <w:bottom w:val="none" w:sz="0" w:space="0" w:color="auto"/>
        <w:right w:val="none" w:sz="0" w:space="0" w:color="auto"/>
      </w:divBdr>
      <w:divsChild>
        <w:div w:id="500510897">
          <w:marLeft w:val="547"/>
          <w:marRight w:val="0"/>
          <w:marTop w:val="120"/>
          <w:marBottom w:val="0"/>
          <w:divBdr>
            <w:top w:val="none" w:sz="0" w:space="0" w:color="auto"/>
            <w:left w:val="none" w:sz="0" w:space="0" w:color="auto"/>
            <w:bottom w:val="none" w:sz="0" w:space="0" w:color="auto"/>
            <w:right w:val="none" w:sz="0" w:space="0" w:color="auto"/>
          </w:divBdr>
        </w:div>
        <w:div w:id="709498736">
          <w:marLeft w:val="1166"/>
          <w:marRight w:val="0"/>
          <w:marTop w:val="106"/>
          <w:marBottom w:val="0"/>
          <w:divBdr>
            <w:top w:val="none" w:sz="0" w:space="0" w:color="auto"/>
            <w:left w:val="none" w:sz="0" w:space="0" w:color="auto"/>
            <w:bottom w:val="none" w:sz="0" w:space="0" w:color="auto"/>
            <w:right w:val="none" w:sz="0" w:space="0" w:color="auto"/>
          </w:divBdr>
        </w:div>
        <w:div w:id="1584025964">
          <w:marLeft w:val="1166"/>
          <w:marRight w:val="0"/>
          <w:marTop w:val="106"/>
          <w:marBottom w:val="0"/>
          <w:divBdr>
            <w:top w:val="none" w:sz="0" w:space="0" w:color="auto"/>
            <w:left w:val="none" w:sz="0" w:space="0" w:color="auto"/>
            <w:bottom w:val="none" w:sz="0" w:space="0" w:color="auto"/>
            <w:right w:val="none" w:sz="0" w:space="0" w:color="auto"/>
          </w:divBdr>
        </w:div>
      </w:divsChild>
    </w:div>
    <w:div w:id="792944013">
      <w:bodyDiv w:val="1"/>
      <w:marLeft w:val="0"/>
      <w:marRight w:val="0"/>
      <w:marTop w:val="0"/>
      <w:marBottom w:val="0"/>
      <w:divBdr>
        <w:top w:val="none" w:sz="0" w:space="0" w:color="auto"/>
        <w:left w:val="none" w:sz="0" w:space="0" w:color="auto"/>
        <w:bottom w:val="none" w:sz="0" w:space="0" w:color="auto"/>
        <w:right w:val="none" w:sz="0" w:space="0" w:color="auto"/>
      </w:divBdr>
      <w:divsChild>
        <w:div w:id="1774013592">
          <w:marLeft w:val="547"/>
          <w:marRight w:val="0"/>
          <w:marTop w:val="120"/>
          <w:marBottom w:val="0"/>
          <w:divBdr>
            <w:top w:val="none" w:sz="0" w:space="0" w:color="auto"/>
            <w:left w:val="none" w:sz="0" w:space="0" w:color="auto"/>
            <w:bottom w:val="none" w:sz="0" w:space="0" w:color="auto"/>
            <w:right w:val="none" w:sz="0" w:space="0" w:color="auto"/>
          </w:divBdr>
        </w:div>
        <w:div w:id="1994405138">
          <w:marLeft w:val="547"/>
          <w:marRight w:val="0"/>
          <w:marTop w:val="120"/>
          <w:marBottom w:val="0"/>
          <w:divBdr>
            <w:top w:val="none" w:sz="0" w:space="0" w:color="auto"/>
            <w:left w:val="none" w:sz="0" w:space="0" w:color="auto"/>
            <w:bottom w:val="none" w:sz="0" w:space="0" w:color="auto"/>
            <w:right w:val="none" w:sz="0" w:space="0" w:color="auto"/>
          </w:divBdr>
        </w:div>
        <w:div w:id="1272933407">
          <w:marLeft w:val="1166"/>
          <w:marRight w:val="0"/>
          <w:marTop w:val="106"/>
          <w:marBottom w:val="0"/>
          <w:divBdr>
            <w:top w:val="none" w:sz="0" w:space="0" w:color="auto"/>
            <w:left w:val="none" w:sz="0" w:space="0" w:color="auto"/>
            <w:bottom w:val="none" w:sz="0" w:space="0" w:color="auto"/>
            <w:right w:val="none" w:sz="0" w:space="0" w:color="auto"/>
          </w:divBdr>
        </w:div>
        <w:div w:id="1762295278">
          <w:marLeft w:val="1166"/>
          <w:marRight w:val="0"/>
          <w:marTop w:val="106"/>
          <w:marBottom w:val="0"/>
          <w:divBdr>
            <w:top w:val="none" w:sz="0" w:space="0" w:color="auto"/>
            <w:left w:val="none" w:sz="0" w:space="0" w:color="auto"/>
            <w:bottom w:val="none" w:sz="0" w:space="0" w:color="auto"/>
            <w:right w:val="none" w:sz="0" w:space="0" w:color="auto"/>
          </w:divBdr>
        </w:div>
      </w:divsChild>
    </w:div>
    <w:div w:id="820121927">
      <w:bodyDiv w:val="1"/>
      <w:marLeft w:val="0"/>
      <w:marRight w:val="0"/>
      <w:marTop w:val="0"/>
      <w:marBottom w:val="0"/>
      <w:divBdr>
        <w:top w:val="none" w:sz="0" w:space="0" w:color="auto"/>
        <w:left w:val="none" w:sz="0" w:space="0" w:color="auto"/>
        <w:bottom w:val="none" w:sz="0" w:space="0" w:color="auto"/>
        <w:right w:val="none" w:sz="0" w:space="0" w:color="auto"/>
      </w:divBdr>
      <w:divsChild>
        <w:div w:id="1842967248">
          <w:marLeft w:val="547"/>
          <w:marRight w:val="0"/>
          <w:marTop w:val="120"/>
          <w:marBottom w:val="0"/>
          <w:divBdr>
            <w:top w:val="none" w:sz="0" w:space="0" w:color="auto"/>
            <w:left w:val="none" w:sz="0" w:space="0" w:color="auto"/>
            <w:bottom w:val="none" w:sz="0" w:space="0" w:color="auto"/>
            <w:right w:val="none" w:sz="0" w:space="0" w:color="auto"/>
          </w:divBdr>
        </w:div>
        <w:div w:id="757679919">
          <w:marLeft w:val="547"/>
          <w:marRight w:val="0"/>
          <w:marTop w:val="120"/>
          <w:marBottom w:val="0"/>
          <w:divBdr>
            <w:top w:val="none" w:sz="0" w:space="0" w:color="auto"/>
            <w:left w:val="none" w:sz="0" w:space="0" w:color="auto"/>
            <w:bottom w:val="none" w:sz="0" w:space="0" w:color="auto"/>
            <w:right w:val="none" w:sz="0" w:space="0" w:color="auto"/>
          </w:divBdr>
        </w:div>
        <w:div w:id="599869902">
          <w:marLeft w:val="1166"/>
          <w:marRight w:val="0"/>
          <w:marTop w:val="106"/>
          <w:marBottom w:val="0"/>
          <w:divBdr>
            <w:top w:val="none" w:sz="0" w:space="0" w:color="auto"/>
            <w:left w:val="none" w:sz="0" w:space="0" w:color="auto"/>
            <w:bottom w:val="none" w:sz="0" w:space="0" w:color="auto"/>
            <w:right w:val="none" w:sz="0" w:space="0" w:color="auto"/>
          </w:divBdr>
        </w:div>
        <w:div w:id="2054691756">
          <w:marLeft w:val="1166"/>
          <w:marRight w:val="0"/>
          <w:marTop w:val="106"/>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36596232">
      <w:bodyDiv w:val="1"/>
      <w:marLeft w:val="0"/>
      <w:marRight w:val="0"/>
      <w:marTop w:val="0"/>
      <w:marBottom w:val="0"/>
      <w:divBdr>
        <w:top w:val="none" w:sz="0" w:space="0" w:color="auto"/>
        <w:left w:val="none" w:sz="0" w:space="0" w:color="auto"/>
        <w:bottom w:val="none" w:sz="0" w:space="0" w:color="auto"/>
        <w:right w:val="none" w:sz="0" w:space="0" w:color="auto"/>
      </w:divBdr>
      <w:divsChild>
        <w:div w:id="1559052614">
          <w:marLeft w:val="547"/>
          <w:marRight w:val="0"/>
          <w:marTop w:val="144"/>
          <w:marBottom w:val="0"/>
          <w:divBdr>
            <w:top w:val="none" w:sz="0" w:space="0" w:color="auto"/>
            <w:left w:val="none" w:sz="0" w:space="0" w:color="auto"/>
            <w:bottom w:val="none" w:sz="0" w:space="0" w:color="auto"/>
            <w:right w:val="none" w:sz="0" w:space="0" w:color="auto"/>
          </w:divBdr>
        </w:div>
        <w:div w:id="1246960833">
          <w:marLeft w:val="1166"/>
          <w:marRight w:val="0"/>
          <w:marTop w:val="125"/>
          <w:marBottom w:val="0"/>
          <w:divBdr>
            <w:top w:val="none" w:sz="0" w:space="0" w:color="auto"/>
            <w:left w:val="none" w:sz="0" w:space="0" w:color="auto"/>
            <w:bottom w:val="none" w:sz="0" w:space="0" w:color="auto"/>
            <w:right w:val="none" w:sz="0" w:space="0" w:color="auto"/>
          </w:divBdr>
        </w:div>
        <w:div w:id="313415097">
          <w:marLeft w:val="1166"/>
          <w:marRight w:val="0"/>
          <w:marTop w:val="125"/>
          <w:marBottom w:val="0"/>
          <w:divBdr>
            <w:top w:val="none" w:sz="0" w:space="0" w:color="auto"/>
            <w:left w:val="none" w:sz="0" w:space="0" w:color="auto"/>
            <w:bottom w:val="none" w:sz="0" w:space="0" w:color="auto"/>
            <w:right w:val="none" w:sz="0" w:space="0" w:color="auto"/>
          </w:divBdr>
        </w:div>
      </w:divsChild>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76442602">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419123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49287481">
      <w:bodyDiv w:val="1"/>
      <w:marLeft w:val="0"/>
      <w:marRight w:val="0"/>
      <w:marTop w:val="0"/>
      <w:marBottom w:val="0"/>
      <w:divBdr>
        <w:top w:val="none" w:sz="0" w:space="0" w:color="auto"/>
        <w:left w:val="none" w:sz="0" w:space="0" w:color="auto"/>
        <w:bottom w:val="none" w:sz="0" w:space="0" w:color="auto"/>
        <w:right w:val="none" w:sz="0" w:space="0" w:color="auto"/>
      </w:divBdr>
      <w:divsChild>
        <w:div w:id="1196501468">
          <w:marLeft w:val="547"/>
          <w:marRight w:val="0"/>
          <w:marTop w:val="130"/>
          <w:marBottom w:val="0"/>
          <w:divBdr>
            <w:top w:val="none" w:sz="0" w:space="0" w:color="auto"/>
            <w:left w:val="none" w:sz="0" w:space="0" w:color="auto"/>
            <w:bottom w:val="none" w:sz="0" w:space="0" w:color="auto"/>
            <w:right w:val="none" w:sz="0" w:space="0" w:color="auto"/>
          </w:divBdr>
        </w:div>
        <w:div w:id="36586809">
          <w:marLeft w:val="1166"/>
          <w:marRight w:val="0"/>
          <w:marTop w:val="115"/>
          <w:marBottom w:val="0"/>
          <w:divBdr>
            <w:top w:val="none" w:sz="0" w:space="0" w:color="auto"/>
            <w:left w:val="none" w:sz="0" w:space="0" w:color="auto"/>
            <w:bottom w:val="none" w:sz="0" w:space="0" w:color="auto"/>
            <w:right w:val="none" w:sz="0" w:space="0" w:color="auto"/>
          </w:divBdr>
        </w:div>
        <w:div w:id="1592740772">
          <w:marLeft w:val="1800"/>
          <w:marRight w:val="0"/>
          <w:marTop w:val="96"/>
          <w:marBottom w:val="0"/>
          <w:divBdr>
            <w:top w:val="none" w:sz="0" w:space="0" w:color="auto"/>
            <w:left w:val="none" w:sz="0" w:space="0" w:color="auto"/>
            <w:bottom w:val="none" w:sz="0" w:space="0" w:color="auto"/>
            <w:right w:val="none" w:sz="0" w:space="0" w:color="auto"/>
          </w:divBdr>
        </w:div>
        <w:div w:id="1904483008">
          <w:marLeft w:val="1800"/>
          <w:marRight w:val="0"/>
          <w:marTop w:val="96"/>
          <w:marBottom w:val="0"/>
          <w:divBdr>
            <w:top w:val="none" w:sz="0" w:space="0" w:color="auto"/>
            <w:left w:val="none" w:sz="0" w:space="0" w:color="auto"/>
            <w:bottom w:val="none" w:sz="0" w:space="0" w:color="auto"/>
            <w:right w:val="none" w:sz="0" w:space="0" w:color="auto"/>
          </w:divBdr>
        </w:div>
        <w:div w:id="1234512884">
          <w:marLeft w:val="1800"/>
          <w:marRight w:val="0"/>
          <w:marTop w:val="96"/>
          <w:marBottom w:val="0"/>
          <w:divBdr>
            <w:top w:val="none" w:sz="0" w:space="0" w:color="auto"/>
            <w:left w:val="none" w:sz="0" w:space="0" w:color="auto"/>
            <w:bottom w:val="none" w:sz="0" w:space="0" w:color="auto"/>
            <w:right w:val="none" w:sz="0" w:space="0" w:color="auto"/>
          </w:divBdr>
        </w:div>
        <w:div w:id="1113554101">
          <w:marLeft w:val="1800"/>
          <w:marRight w:val="0"/>
          <w:marTop w:val="9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390494069">
      <w:bodyDiv w:val="1"/>
      <w:marLeft w:val="0"/>
      <w:marRight w:val="0"/>
      <w:marTop w:val="0"/>
      <w:marBottom w:val="0"/>
      <w:divBdr>
        <w:top w:val="none" w:sz="0" w:space="0" w:color="auto"/>
        <w:left w:val="none" w:sz="0" w:space="0" w:color="auto"/>
        <w:bottom w:val="none" w:sz="0" w:space="0" w:color="auto"/>
        <w:right w:val="none" w:sz="0" w:space="0" w:color="auto"/>
      </w:divBdr>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8398832">
      <w:bodyDiv w:val="1"/>
      <w:marLeft w:val="0"/>
      <w:marRight w:val="0"/>
      <w:marTop w:val="0"/>
      <w:marBottom w:val="0"/>
      <w:divBdr>
        <w:top w:val="none" w:sz="0" w:space="0" w:color="auto"/>
        <w:left w:val="none" w:sz="0" w:space="0" w:color="auto"/>
        <w:bottom w:val="none" w:sz="0" w:space="0" w:color="auto"/>
        <w:right w:val="none" w:sz="0" w:space="0" w:color="auto"/>
      </w:divBdr>
      <w:divsChild>
        <w:div w:id="1447235777">
          <w:marLeft w:val="547"/>
          <w:marRight w:val="0"/>
          <w:marTop w:val="144"/>
          <w:marBottom w:val="0"/>
          <w:divBdr>
            <w:top w:val="none" w:sz="0" w:space="0" w:color="auto"/>
            <w:left w:val="none" w:sz="0" w:space="0" w:color="auto"/>
            <w:bottom w:val="none" w:sz="0" w:space="0" w:color="auto"/>
            <w:right w:val="none" w:sz="0" w:space="0" w:color="auto"/>
          </w:divBdr>
        </w:div>
        <w:div w:id="554703393">
          <w:marLeft w:val="1166"/>
          <w:marRight w:val="0"/>
          <w:marTop w:val="125"/>
          <w:marBottom w:val="0"/>
          <w:divBdr>
            <w:top w:val="none" w:sz="0" w:space="0" w:color="auto"/>
            <w:left w:val="none" w:sz="0" w:space="0" w:color="auto"/>
            <w:bottom w:val="none" w:sz="0" w:space="0" w:color="auto"/>
            <w:right w:val="none" w:sz="0" w:space="0" w:color="auto"/>
          </w:divBdr>
        </w:div>
        <w:div w:id="152722552">
          <w:marLeft w:val="547"/>
          <w:marRight w:val="0"/>
          <w:marTop w:val="144"/>
          <w:marBottom w:val="0"/>
          <w:divBdr>
            <w:top w:val="none" w:sz="0" w:space="0" w:color="auto"/>
            <w:left w:val="none" w:sz="0" w:space="0" w:color="auto"/>
            <w:bottom w:val="none" w:sz="0" w:space="0" w:color="auto"/>
            <w:right w:val="none" w:sz="0" w:space="0" w:color="auto"/>
          </w:divBdr>
        </w:div>
        <w:div w:id="647980512">
          <w:marLeft w:val="1166"/>
          <w:marRight w:val="0"/>
          <w:marTop w:val="125"/>
          <w:marBottom w:val="0"/>
          <w:divBdr>
            <w:top w:val="none" w:sz="0" w:space="0" w:color="auto"/>
            <w:left w:val="none" w:sz="0" w:space="0" w:color="auto"/>
            <w:bottom w:val="none" w:sz="0" w:space="0" w:color="auto"/>
            <w:right w:val="none" w:sz="0" w:space="0" w:color="auto"/>
          </w:divBdr>
        </w:div>
        <w:div w:id="1160804386">
          <w:marLeft w:val="1166"/>
          <w:marRight w:val="0"/>
          <w:marTop w:val="125"/>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6588769">
      <w:bodyDiv w:val="1"/>
      <w:marLeft w:val="0"/>
      <w:marRight w:val="0"/>
      <w:marTop w:val="0"/>
      <w:marBottom w:val="0"/>
      <w:divBdr>
        <w:top w:val="none" w:sz="0" w:space="0" w:color="auto"/>
        <w:left w:val="none" w:sz="0" w:space="0" w:color="auto"/>
        <w:bottom w:val="none" w:sz="0" w:space="0" w:color="auto"/>
        <w:right w:val="none" w:sz="0" w:space="0" w:color="auto"/>
      </w:divBdr>
      <w:divsChild>
        <w:div w:id="870848676">
          <w:marLeft w:val="547"/>
          <w:marRight w:val="0"/>
          <w:marTop w:val="12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8795563">
      <w:bodyDiv w:val="1"/>
      <w:marLeft w:val="0"/>
      <w:marRight w:val="0"/>
      <w:marTop w:val="0"/>
      <w:marBottom w:val="0"/>
      <w:divBdr>
        <w:top w:val="none" w:sz="0" w:space="0" w:color="auto"/>
        <w:left w:val="none" w:sz="0" w:space="0" w:color="auto"/>
        <w:bottom w:val="none" w:sz="0" w:space="0" w:color="auto"/>
        <w:right w:val="none" w:sz="0" w:space="0" w:color="auto"/>
      </w:divBdr>
      <w:divsChild>
        <w:div w:id="192768956">
          <w:marLeft w:val="547"/>
          <w:marRight w:val="0"/>
          <w:marTop w:val="154"/>
          <w:marBottom w:val="0"/>
          <w:divBdr>
            <w:top w:val="none" w:sz="0" w:space="0" w:color="auto"/>
            <w:left w:val="none" w:sz="0" w:space="0" w:color="auto"/>
            <w:bottom w:val="none" w:sz="0" w:space="0" w:color="auto"/>
            <w:right w:val="none" w:sz="0" w:space="0" w:color="auto"/>
          </w:divBdr>
        </w:div>
        <w:div w:id="998728502">
          <w:marLeft w:val="1800"/>
          <w:marRight w:val="0"/>
          <w:marTop w:val="115"/>
          <w:marBottom w:val="0"/>
          <w:divBdr>
            <w:top w:val="none" w:sz="0" w:space="0" w:color="auto"/>
            <w:left w:val="none" w:sz="0" w:space="0" w:color="auto"/>
            <w:bottom w:val="none" w:sz="0" w:space="0" w:color="auto"/>
            <w:right w:val="none" w:sz="0" w:space="0" w:color="auto"/>
          </w:divBdr>
        </w:div>
        <w:div w:id="1033582204">
          <w:marLeft w:val="547"/>
          <w:marRight w:val="0"/>
          <w:marTop w:val="154"/>
          <w:marBottom w:val="0"/>
          <w:divBdr>
            <w:top w:val="none" w:sz="0" w:space="0" w:color="auto"/>
            <w:left w:val="none" w:sz="0" w:space="0" w:color="auto"/>
            <w:bottom w:val="none" w:sz="0" w:space="0" w:color="auto"/>
            <w:right w:val="none" w:sz="0" w:space="0" w:color="auto"/>
          </w:divBdr>
        </w:div>
        <w:div w:id="1801801853">
          <w:marLeft w:val="1166"/>
          <w:marRight w:val="0"/>
          <w:marTop w:val="134"/>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7827072">
      <w:bodyDiv w:val="1"/>
      <w:marLeft w:val="0"/>
      <w:marRight w:val="0"/>
      <w:marTop w:val="0"/>
      <w:marBottom w:val="0"/>
      <w:divBdr>
        <w:top w:val="none" w:sz="0" w:space="0" w:color="auto"/>
        <w:left w:val="none" w:sz="0" w:space="0" w:color="auto"/>
        <w:bottom w:val="none" w:sz="0" w:space="0" w:color="auto"/>
        <w:right w:val="none" w:sz="0" w:space="0" w:color="auto"/>
      </w:divBdr>
      <w:divsChild>
        <w:div w:id="1267156836">
          <w:marLeft w:val="547"/>
          <w:marRight w:val="0"/>
          <w:marTop w:val="120"/>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1871</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169</cp:revision>
  <cp:lastPrinted>1899-12-31T23:00:00Z</cp:lastPrinted>
  <dcterms:created xsi:type="dcterms:W3CDTF">2020-12-17T02:20:00Z</dcterms:created>
  <dcterms:modified xsi:type="dcterms:W3CDTF">2021-08-06T13:30:00Z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